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8"/>
          <w:szCs w:val="32"/>
          <w:lang w:val="sr-Cyrl-BA"/>
        </w:rPr>
        <w:id w:val="1908391"/>
        <w:docPartObj>
          <w:docPartGallery w:val="Cover Pages"/>
          <w:docPartUnique/>
        </w:docPartObj>
      </w:sdtPr>
      <w:sdtEndPr>
        <w:rPr>
          <w:sz w:val="24"/>
        </w:rPr>
      </w:sdtEndPr>
      <w:sdtContent>
        <w:sdt>
          <w:sdtPr>
            <w:rPr>
              <w:sz w:val="28"/>
              <w:szCs w:val="32"/>
              <w:lang w:val="sr-Cyrl-BA"/>
            </w:rPr>
            <w:id w:val="282227141"/>
            <w:docPartObj>
              <w:docPartGallery w:val="Cover Pages"/>
              <w:docPartUnique/>
            </w:docPartObj>
          </w:sdtPr>
          <w:sdtEndPr>
            <w:rPr>
              <w:sz w:val="24"/>
            </w:rPr>
          </w:sdtEndPr>
          <w:sdtContent>
            <w:p w14:paraId="433EB8B9" w14:textId="77777777" w:rsidR="009628CE" w:rsidRPr="00EC6422" w:rsidRDefault="009628CE" w:rsidP="006B6E0C">
              <w:pPr>
                <w:spacing w:before="0" w:after="0" w:line="240" w:lineRule="auto"/>
                <w:ind w:firstLine="0"/>
                <w:jc w:val="center"/>
                <w:rPr>
                  <w:b/>
                  <w:sz w:val="28"/>
                  <w:lang w:val="sr-Cyrl-BA"/>
                </w:rPr>
              </w:pPr>
              <w:r w:rsidRPr="00EC6422">
                <w:rPr>
                  <w:b/>
                  <w:sz w:val="28"/>
                  <w:lang w:val="sr-Cyrl-BA"/>
                </w:rPr>
                <w:t>КОМИСИЈА ЗА ХАРТИЈЕ ОД ВРИЈЕДНОСТИ РЕПУБЛИКЕ СРПСКЕ</w:t>
              </w:r>
            </w:p>
            <w:p w14:paraId="58415D1C" w14:textId="77777777" w:rsidR="009628CE" w:rsidRPr="00EC6422" w:rsidRDefault="009628CE" w:rsidP="006B6E0C">
              <w:pPr>
                <w:spacing w:before="0" w:after="0" w:line="240" w:lineRule="auto"/>
                <w:ind w:firstLine="0"/>
                <w:jc w:val="center"/>
                <w:rPr>
                  <w:b/>
                  <w:lang w:val="sr-Cyrl-BA"/>
                </w:rPr>
              </w:pPr>
            </w:p>
            <w:p w14:paraId="5E9DD516" w14:textId="77777777" w:rsidR="009628CE" w:rsidRPr="00EC6422" w:rsidRDefault="009628CE" w:rsidP="006B6E0C">
              <w:pPr>
                <w:pStyle w:val="NoSpacing"/>
                <w:spacing w:before="0" w:after="0" w:line="240" w:lineRule="auto"/>
                <w:jc w:val="center"/>
                <w:rPr>
                  <w:b/>
                  <w:bCs/>
                  <w:lang w:val="sr-Cyrl-BA"/>
                </w:rPr>
              </w:pPr>
            </w:p>
            <w:p w14:paraId="680485A1" w14:textId="77777777" w:rsidR="009628CE" w:rsidRPr="00EC6422" w:rsidRDefault="009628CE" w:rsidP="006B6E0C">
              <w:pPr>
                <w:pStyle w:val="NoSpacing"/>
                <w:spacing w:before="0" w:after="0" w:line="240" w:lineRule="auto"/>
                <w:jc w:val="center"/>
                <w:rPr>
                  <w:b/>
                  <w:bCs/>
                  <w:lang w:val="sr-Cyrl-BA"/>
                </w:rPr>
              </w:pPr>
              <w:r w:rsidRPr="00EC6422">
                <w:rPr>
                  <w:b/>
                  <w:bCs/>
                  <w:noProof/>
                </w:rPr>
                <w:drawing>
                  <wp:anchor distT="0" distB="0" distL="114300" distR="114300" simplePos="0" relativeHeight="251657216" behindDoc="0" locked="0" layoutInCell="1" allowOverlap="1" wp14:anchorId="5B16444E" wp14:editId="0047521C">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10876D20" w14:textId="77777777" w:rsidR="009628CE" w:rsidRPr="00EC6422" w:rsidRDefault="009628CE" w:rsidP="006B6E0C">
              <w:pPr>
                <w:pStyle w:val="NoSpacing"/>
                <w:spacing w:before="0" w:after="0" w:line="240" w:lineRule="auto"/>
                <w:jc w:val="center"/>
                <w:rPr>
                  <w:b/>
                  <w:bCs/>
                  <w:lang w:val="sr-Cyrl-BA"/>
                </w:rPr>
              </w:pPr>
            </w:p>
            <w:p w14:paraId="36720CDD" w14:textId="77777777" w:rsidR="009628CE" w:rsidRPr="00EC6422" w:rsidRDefault="009628CE" w:rsidP="006B6E0C">
              <w:pPr>
                <w:pStyle w:val="NoSpacing"/>
                <w:spacing w:before="0" w:after="0" w:line="240" w:lineRule="auto"/>
                <w:jc w:val="center"/>
                <w:rPr>
                  <w:b/>
                  <w:bCs/>
                  <w:lang w:val="sr-Cyrl-BA"/>
                </w:rPr>
              </w:pPr>
            </w:p>
            <w:p w14:paraId="50644284" w14:textId="77777777" w:rsidR="009628CE" w:rsidRPr="00EC6422" w:rsidRDefault="009628CE" w:rsidP="006B6E0C">
              <w:pPr>
                <w:pStyle w:val="NoSpacing"/>
                <w:spacing w:before="0" w:after="0" w:line="240" w:lineRule="auto"/>
                <w:jc w:val="center"/>
                <w:rPr>
                  <w:b/>
                  <w:bCs/>
                  <w:lang w:val="sr-Cyrl-BA"/>
                </w:rPr>
              </w:pPr>
            </w:p>
            <w:p w14:paraId="31589FB1" w14:textId="77777777" w:rsidR="009628CE" w:rsidRPr="00EC6422" w:rsidRDefault="009628CE" w:rsidP="006B6E0C">
              <w:pPr>
                <w:pStyle w:val="NoSpacing"/>
                <w:spacing w:before="0" w:after="0" w:line="240" w:lineRule="auto"/>
                <w:jc w:val="center"/>
                <w:rPr>
                  <w:b/>
                  <w:bCs/>
                  <w:lang w:val="sr-Cyrl-BA"/>
                </w:rPr>
              </w:pPr>
              <w:r w:rsidRPr="00EC6422">
                <w:rPr>
                  <w:b/>
                  <w:bCs/>
                  <w:noProof/>
                </w:rPr>
                <w:drawing>
                  <wp:anchor distT="0" distB="0" distL="114300" distR="114300" simplePos="0" relativeHeight="251659264" behindDoc="1" locked="0" layoutInCell="1" allowOverlap="1" wp14:anchorId="4B25B39E" wp14:editId="00689E21">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2FF305B2" w14:textId="77777777" w:rsidR="009628CE" w:rsidRPr="00EC6422" w:rsidRDefault="009628CE" w:rsidP="006B6E0C">
              <w:pPr>
                <w:pStyle w:val="NoSpacing"/>
                <w:spacing w:before="0" w:after="0" w:line="240" w:lineRule="auto"/>
                <w:jc w:val="center"/>
                <w:rPr>
                  <w:b/>
                  <w:bCs/>
                  <w:lang w:val="sr-Cyrl-BA"/>
                </w:rPr>
              </w:pPr>
            </w:p>
            <w:p w14:paraId="192E4094" w14:textId="77777777" w:rsidR="009628CE" w:rsidRPr="00EC6422" w:rsidRDefault="009628CE" w:rsidP="006B6E0C">
              <w:pPr>
                <w:pStyle w:val="NoSpacing"/>
                <w:spacing w:before="0" w:after="0" w:line="240" w:lineRule="auto"/>
                <w:jc w:val="center"/>
                <w:rPr>
                  <w:b/>
                  <w:bCs/>
                  <w:lang w:val="sr-Cyrl-BA"/>
                </w:rPr>
              </w:pPr>
            </w:p>
            <w:p w14:paraId="1E70291C" w14:textId="77777777" w:rsidR="009628CE" w:rsidRPr="00EC6422" w:rsidRDefault="009628CE" w:rsidP="006B6E0C">
              <w:pPr>
                <w:pStyle w:val="NoSpacing"/>
                <w:spacing w:before="0" w:after="0" w:line="240" w:lineRule="auto"/>
                <w:jc w:val="center"/>
                <w:rPr>
                  <w:b/>
                  <w:bCs/>
                  <w:lang w:val="sr-Cyrl-BA"/>
                </w:rPr>
              </w:pPr>
            </w:p>
            <w:p w14:paraId="4FE5EB9E" w14:textId="77777777" w:rsidR="009628CE" w:rsidRPr="00EC6422" w:rsidRDefault="009628CE" w:rsidP="006B6E0C">
              <w:pPr>
                <w:pStyle w:val="NoSpacing"/>
                <w:spacing w:before="0" w:after="0" w:line="240" w:lineRule="auto"/>
                <w:jc w:val="center"/>
                <w:rPr>
                  <w:b/>
                  <w:bCs/>
                  <w:lang w:val="sr-Cyrl-BA"/>
                </w:rPr>
              </w:pPr>
            </w:p>
            <w:p w14:paraId="428CDB13" w14:textId="77777777" w:rsidR="009628CE" w:rsidRPr="00EC6422" w:rsidRDefault="009628CE" w:rsidP="006B6E0C">
              <w:pPr>
                <w:pStyle w:val="NoSpacing"/>
                <w:spacing w:before="0" w:after="0" w:line="240" w:lineRule="auto"/>
                <w:jc w:val="center"/>
                <w:rPr>
                  <w:b/>
                  <w:bCs/>
                  <w:lang w:val="sr-Cyrl-BA"/>
                </w:rPr>
              </w:pPr>
            </w:p>
            <w:p w14:paraId="30BD371A" w14:textId="77777777" w:rsidR="009628CE" w:rsidRPr="00EC6422" w:rsidRDefault="009628CE" w:rsidP="006B6E0C">
              <w:pPr>
                <w:pStyle w:val="NoSpacing"/>
                <w:spacing w:before="0" w:after="0" w:line="240" w:lineRule="auto"/>
                <w:jc w:val="center"/>
                <w:rPr>
                  <w:b/>
                  <w:bCs/>
                  <w:lang w:val="sr-Cyrl-BA"/>
                </w:rPr>
              </w:pPr>
            </w:p>
            <w:p w14:paraId="65F7BA0F" w14:textId="77777777" w:rsidR="009628CE" w:rsidRPr="00EC6422" w:rsidRDefault="009628CE" w:rsidP="006B6E0C">
              <w:pPr>
                <w:pStyle w:val="NoSpacing"/>
                <w:spacing w:before="0" w:after="0" w:line="240" w:lineRule="auto"/>
                <w:jc w:val="center"/>
                <w:rPr>
                  <w:b/>
                  <w:bCs/>
                  <w:sz w:val="28"/>
                  <w:lang w:val="sr-Cyrl-BA"/>
                </w:rPr>
              </w:pPr>
            </w:p>
            <w:p w14:paraId="6BA9B494" w14:textId="77777777" w:rsidR="009628CE" w:rsidRPr="00EC6422" w:rsidRDefault="009628CE" w:rsidP="006B6E0C">
              <w:pPr>
                <w:pStyle w:val="NoSpacing"/>
                <w:spacing w:before="0" w:after="0" w:line="240" w:lineRule="auto"/>
                <w:jc w:val="center"/>
                <w:rPr>
                  <w:b/>
                  <w:bCs/>
                  <w:sz w:val="28"/>
                  <w:lang w:val="sr-Cyrl-BA"/>
                </w:rPr>
              </w:pPr>
            </w:p>
            <w:p w14:paraId="68817784" w14:textId="77777777" w:rsidR="009628CE" w:rsidRPr="00EC6422" w:rsidRDefault="009628CE" w:rsidP="006B6E0C">
              <w:pPr>
                <w:pStyle w:val="NoSpacing"/>
                <w:spacing w:before="0" w:after="0" w:line="240" w:lineRule="auto"/>
                <w:jc w:val="center"/>
                <w:rPr>
                  <w:b/>
                  <w:bCs/>
                  <w:sz w:val="36"/>
                  <w:lang w:val="sr-Cyrl-BA"/>
                </w:rPr>
              </w:pPr>
            </w:p>
            <w:p w14:paraId="49D2F691" w14:textId="77777777" w:rsidR="009628CE" w:rsidRPr="00EC6422" w:rsidRDefault="009628CE" w:rsidP="006B6E0C">
              <w:pPr>
                <w:pStyle w:val="NoSpacing"/>
                <w:spacing w:before="0" w:after="0" w:line="240" w:lineRule="auto"/>
                <w:jc w:val="center"/>
                <w:rPr>
                  <w:b/>
                  <w:bCs/>
                  <w:sz w:val="36"/>
                  <w:lang w:val="sr-Cyrl-BA"/>
                </w:rPr>
              </w:pPr>
            </w:p>
            <w:p w14:paraId="3D49FCEE" w14:textId="77777777" w:rsidR="009628CE" w:rsidRPr="00EC6422" w:rsidRDefault="009628CE" w:rsidP="006B6E0C">
              <w:pPr>
                <w:pStyle w:val="NoSpacing"/>
                <w:spacing w:before="0" w:after="0" w:line="240" w:lineRule="auto"/>
                <w:jc w:val="center"/>
                <w:rPr>
                  <w:b/>
                  <w:bCs/>
                  <w:sz w:val="36"/>
                  <w:lang w:val="sr-Cyrl-BA"/>
                </w:rPr>
              </w:pPr>
            </w:p>
            <w:p w14:paraId="5A7911A6" w14:textId="77777777" w:rsidR="009628CE" w:rsidRPr="00EC6422" w:rsidRDefault="009628CE" w:rsidP="006B6E0C">
              <w:pPr>
                <w:pStyle w:val="NoSpacing"/>
                <w:spacing w:before="0" w:after="0" w:line="240" w:lineRule="auto"/>
                <w:jc w:val="center"/>
                <w:rPr>
                  <w:b/>
                  <w:bCs/>
                  <w:sz w:val="36"/>
                  <w:lang w:val="sr-Cyrl-BA"/>
                </w:rPr>
              </w:pPr>
            </w:p>
            <w:p w14:paraId="71A6E950" w14:textId="77777777" w:rsidR="009628CE" w:rsidRPr="00EC6422" w:rsidRDefault="009628CE" w:rsidP="006B6E0C">
              <w:pPr>
                <w:pStyle w:val="NoSpacing"/>
                <w:spacing w:before="0" w:after="0" w:line="240" w:lineRule="auto"/>
                <w:jc w:val="center"/>
                <w:rPr>
                  <w:b/>
                  <w:bCs/>
                  <w:sz w:val="36"/>
                  <w:lang w:val="sr-Cyrl-BA"/>
                </w:rPr>
              </w:pPr>
            </w:p>
            <w:p w14:paraId="2B51A45D" w14:textId="77777777" w:rsidR="009628CE" w:rsidRPr="00EC6422" w:rsidRDefault="009628CE" w:rsidP="006B6E0C">
              <w:pPr>
                <w:pStyle w:val="NoSpacing"/>
                <w:spacing w:before="0" w:after="0" w:line="240" w:lineRule="auto"/>
                <w:jc w:val="center"/>
                <w:rPr>
                  <w:rFonts w:eastAsiaTheme="majorEastAsia"/>
                  <w:b/>
                  <w:sz w:val="48"/>
                  <w:szCs w:val="80"/>
                  <w:lang w:val="sr-Cyrl-BA"/>
                </w:rPr>
              </w:pPr>
              <w:r w:rsidRPr="00EC6422">
                <w:rPr>
                  <w:rFonts w:eastAsiaTheme="majorEastAsia"/>
                  <w:b/>
                  <w:sz w:val="48"/>
                  <w:szCs w:val="80"/>
                  <w:lang w:val="sr-Cyrl-BA"/>
                </w:rPr>
                <w:t xml:space="preserve">Извјештај о раду </w:t>
              </w:r>
            </w:p>
            <w:p w14:paraId="761B58D3" w14:textId="0F8CFE2F" w:rsidR="009628CE" w:rsidRPr="00EC6422" w:rsidRDefault="000A6D1E" w:rsidP="006B6E0C">
              <w:pPr>
                <w:pStyle w:val="NoSpacing"/>
                <w:spacing w:before="0" w:after="0" w:line="240" w:lineRule="auto"/>
                <w:jc w:val="center"/>
                <w:rPr>
                  <w:rFonts w:eastAsiaTheme="majorEastAsia"/>
                  <w:b/>
                  <w:sz w:val="32"/>
                  <w:szCs w:val="80"/>
                  <w:lang w:val="sr-Cyrl-BA"/>
                </w:rPr>
              </w:pPr>
              <w:r w:rsidRPr="00EC6422">
                <w:rPr>
                  <w:rFonts w:eastAsiaTheme="majorEastAsia"/>
                  <w:b/>
                  <w:sz w:val="32"/>
                  <w:szCs w:val="80"/>
                  <w:lang w:val="sr-Cyrl-BA"/>
                </w:rPr>
                <w:t xml:space="preserve">за </w:t>
              </w:r>
              <w:r w:rsidR="00ED706F">
                <w:rPr>
                  <w:rFonts w:eastAsiaTheme="majorEastAsia"/>
                  <w:b/>
                  <w:sz w:val="32"/>
                  <w:szCs w:val="80"/>
                  <w:lang w:val="sr-Latn-BA"/>
                </w:rPr>
                <w:t>202</w:t>
              </w:r>
              <w:r w:rsidR="0060565E">
                <w:rPr>
                  <w:rFonts w:eastAsiaTheme="majorEastAsia"/>
                  <w:b/>
                  <w:sz w:val="32"/>
                  <w:szCs w:val="80"/>
                  <w:lang w:val="sr-Latn-BA"/>
                </w:rPr>
                <w:t>3</w:t>
              </w:r>
              <w:r w:rsidR="009628CE" w:rsidRPr="00EC6422">
                <w:rPr>
                  <w:rFonts w:eastAsiaTheme="majorEastAsia"/>
                  <w:b/>
                  <w:sz w:val="32"/>
                  <w:szCs w:val="80"/>
                  <w:lang w:val="sr-Cyrl-BA"/>
                </w:rPr>
                <w:t>. годину</w:t>
              </w:r>
            </w:p>
            <w:p w14:paraId="122B9D14"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2E35B6A6"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DACC2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47AE1A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7D3B0885"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CC2D1B9"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38F48657"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17D2932C"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464B11E"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25EB6CDE"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3BC57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7B754440"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CC85664"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CA72002"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283B2DD" w14:textId="77777777" w:rsidR="009628CE" w:rsidRPr="00EC6422" w:rsidRDefault="009628CE" w:rsidP="006B6E0C">
              <w:pPr>
                <w:pStyle w:val="NoSpacing"/>
                <w:spacing w:before="0" w:after="0" w:line="240" w:lineRule="auto"/>
                <w:rPr>
                  <w:b/>
                  <w:bCs/>
                  <w:sz w:val="28"/>
                  <w:lang w:val="sr-Cyrl-BA"/>
                </w:rPr>
              </w:pPr>
            </w:p>
            <w:p w14:paraId="11717C5D" w14:textId="77777777" w:rsidR="009628CE" w:rsidRPr="00EC6422" w:rsidRDefault="009628CE" w:rsidP="006B6E0C">
              <w:pPr>
                <w:pStyle w:val="NoSpacing"/>
                <w:spacing w:before="0" w:after="0" w:line="240" w:lineRule="auto"/>
                <w:jc w:val="center"/>
                <w:rPr>
                  <w:b/>
                  <w:bCs/>
                  <w:sz w:val="28"/>
                  <w:lang w:val="sr-Cyrl-BA"/>
                </w:rPr>
              </w:pPr>
            </w:p>
            <w:p w14:paraId="49BCB87B" w14:textId="052F2082" w:rsidR="009628CE" w:rsidRPr="00EC6422" w:rsidRDefault="009628CE" w:rsidP="006B6E0C">
              <w:pPr>
                <w:pStyle w:val="NoSpacing"/>
                <w:spacing w:before="0" w:after="0" w:line="240" w:lineRule="auto"/>
                <w:jc w:val="center"/>
                <w:rPr>
                  <w:b/>
                  <w:bCs/>
                  <w:szCs w:val="24"/>
                  <w:lang w:val="sr-Cyrl-BA"/>
                </w:rPr>
              </w:pPr>
              <w:r w:rsidRPr="00EC6422">
                <w:rPr>
                  <w:b/>
                  <w:bCs/>
                  <w:szCs w:val="24"/>
                  <w:lang w:val="sr-Cyrl-BA"/>
                </w:rPr>
                <w:t xml:space="preserve">Бања Лука, </w:t>
              </w:r>
              <w:r w:rsidR="00D815E3">
                <w:rPr>
                  <w:b/>
                  <w:bCs/>
                  <w:szCs w:val="24"/>
                  <w:lang w:val="sr-Cyrl-BA"/>
                </w:rPr>
                <w:t>мај</w:t>
              </w:r>
              <w:r w:rsidRPr="00EC6422">
                <w:rPr>
                  <w:b/>
                  <w:bCs/>
                  <w:szCs w:val="24"/>
                  <w:lang w:val="sr-Cyrl-BA"/>
                </w:rPr>
                <w:t xml:space="preserve"> </w:t>
              </w:r>
              <w:r w:rsidR="004B4826">
                <w:rPr>
                  <w:b/>
                  <w:bCs/>
                  <w:szCs w:val="24"/>
                  <w:lang w:val="sr-Latn-BA"/>
                </w:rPr>
                <w:t>202</w:t>
              </w:r>
              <w:r w:rsidR="0060565E">
                <w:rPr>
                  <w:b/>
                  <w:bCs/>
                  <w:szCs w:val="24"/>
                  <w:lang w:val="sr-Latn-BA"/>
                </w:rPr>
                <w:t>4</w:t>
              </w:r>
              <w:r w:rsidRPr="00EC6422">
                <w:rPr>
                  <w:b/>
                  <w:bCs/>
                  <w:szCs w:val="24"/>
                  <w:lang w:val="sr-Cyrl-BA"/>
                </w:rPr>
                <w:t>. године</w:t>
              </w:r>
            </w:p>
            <w:tbl>
              <w:tblPr>
                <w:tblStyle w:val="LightList-Accent14"/>
                <w:tblW w:w="0" w:type="auto"/>
                <w:tblLook w:val="0400" w:firstRow="0" w:lastRow="0" w:firstColumn="0" w:lastColumn="0" w:noHBand="0" w:noVBand="1"/>
              </w:tblPr>
              <w:tblGrid>
                <w:gridCol w:w="4405"/>
                <w:gridCol w:w="4405"/>
              </w:tblGrid>
              <w:tr w:rsidR="009628CE" w:rsidRPr="00EC6422" w14:paraId="338F0209"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67FE161B" w14:textId="50E096B4"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lastRenderedPageBreak/>
                      <w:t>Адреса:</w:t>
                    </w:r>
                  </w:p>
                </w:tc>
                <w:tc>
                  <w:tcPr>
                    <w:tcW w:w="4405" w:type="dxa"/>
                  </w:tcPr>
                  <w:p w14:paraId="19A2F855"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Бања Лука</w:t>
                    </w:r>
                  </w:p>
                  <w:p w14:paraId="1C1D8549"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Вука Караџића 6</w:t>
                    </w:r>
                  </w:p>
                </w:tc>
              </w:tr>
              <w:tr w:rsidR="009628CE" w:rsidRPr="00EC6422" w14:paraId="0E7382CE" w14:textId="77777777" w:rsidTr="00322730">
                <w:tc>
                  <w:tcPr>
                    <w:tcW w:w="4405" w:type="dxa"/>
                  </w:tcPr>
                  <w:p w14:paraId="104DD5CF"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Телефон(и):</w:t>
                    </w:r>
                  </w:p>
                </w:tc>
                <w:tc>
                  <w:tcPr>
                    <w:tcW w:w="4405" w:type="dxa"/>
                  </w:tcPr>
                  <w:p w14:paraId="15102511"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+387 51 218 356</w:t>
                    </w:r>
                  </w:p>
                  <w:p w14:paraId="276ABFDD"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+387 51 218 362</w:t>
                    </w:r>
                  </w:p>
                  <w:p w14:paraId="454F4E16"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+387 51 212 199</w:t>
                    </w:r>
                  </w:p>
                </w:tc>
              </w:tr>
              <w:tr w:rsidR="009628CE" w:rsidRPr="00EC6422" w14:paraId="1675319F"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006DC007"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Факс:</w:t>
                    </w:r>
                  </w:p>
                </w:tc>
                <w:tc>
                  <w:tcPr>
                    <w:tcW w:w="4405" w:type="dxa"/>
                  </w:tcPr>
                  <w:p w14:paraId="0D6C7FF2"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+387 51 218 361</w:t>
                    </w:r>
                  </w:p>
                </w:tc>
              </w:tr>
              <w:tr w:rsidR="009628CE" w:rsidRPr="00EC6422" w14:paraId="51227CA0" w14:textId="77777777" w:rsidTr="00322730">
                <w:tc>
                  <w:tcPr>
                    <w:tcW w:w="4405" w:type="dxa"/>
                  </w:tcPr>
                  <w:p w14:paraId="28FD636A"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e-</w:t>
                    </w:r>
                    <w:proofErr w:type="spellStart"/>
                    <w:r w:rsidRPr="00EC6422">
                      <w:rPr>
                        <w:rFonts w:ascii="Times New Roman" w:hAnsi="Times New Roman" w:cs="Times New Roman"/>
                        <w:b/>
                        <w:lang w:val="sr-Cyrl-BA"/>
                      </w:rPr>
                      <w:t>mail</w:t>
                    </w:r>
                    <w:proofErr w:type="spellEnd"/>
                    <w:r w:rsidRPr="00EC6422">
                      <w:rPr>
                        <w:rFonts w:ascii="Times New Roman" w:hAnsi="Times New Roman" w:cs="Times New Roman"/>
                        <w:b/>
                        <w:lang w:val="sr-Cyrl-BA"/>
                      </w:rPr>
                      <w:t xml:space="preserve">: </w:t>
                    </w:r>
                  </w:p>
                </w:tc>
                <w:tc>
                  <w:tcPr>
                    <w:tcW w:w="4405" w:type="dxa"/>
                  </w:tcPr>
                  <w:p w14:paraId="1BDB8FA5" w14:textId="77777777" w:rsidR="009628CE" w:rsidRPr="00EC6422" w:rsidRDefault="00000000" w:rsidP="006B6E0C">
                    <w:pPr>
                      <w:spacing w:after="0" w:line="240" w:lineRule="auto"/>
                      <w:jc w:val="right"/>
                      <w:rPr>
                        <w:rFonts w:ascii="Times New Roman" w:hAnsi="Times New Roman" w:cs="Times New Roman"/>
                        <w:lang w:val="sr-Cyrl-BA"/>
                      </w:rPr>
                    </w:pPr>
                    <w:hyperlink r:id="rId10" w:history="1">
                      <w:r w:rsidR="009628CE" w:rsidRPr="00EC6422">
                        <w:rPr>
                          <w:rStyle w:val="Hyperlink"/>
                          <w:rFonts w:ascii="Times New Roman" w:hAnsi="Times New Roman" w:cs="Times New Roman"/>
                          <w:bCs/>
                          <w:lang w:val="sr-Cyrl-BA"/>
                        </w:rPr>
                        <w:t>kontakt@secrs.gov.ba</w:t>
                      </w:r>
                    </w:hyperlink>
                  </w:p>
                </w:tc>
              </w:tr>
              <w:tr w:rsidR="009628CE" w:rsidRPr="00EC6422" w14:paraId="5D1B19F7"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3313F9DA" w14:textId="77777777" w:rsidR="009628CE" w:rsidRPr="00EC6422" w:rsidRDefault="009628CE" w:rsidP="006B6E0C">
                    <w:pPr>
                      <w:spacing w:after="0" w:line="240" w:lineRule="auto"/>
                      <w:ind w:firstLine="0"/>
                      <w:rPr>
                        <w:rFonts w:ascii="Times New Roman" w:hAnsi="Times New Roman" w:cs="Times New Roman"/>
                        <w:b/>
                        <w:lang w:val="sr-Cyrl-BA"/>
                      </w:rPr>
                    </w:pPr>
                    <w:proofErr w:type="spellStart"/>
                    <w:r w:rsidRPr="00EC6422">
                      <w:rPr>
                        <w:rFonts w:ascii="Times New Roman" w:hAnsi="Times New Roman" w:cs="Times New Roman"/>
                        <w:b/>
                        <w:lang w:val="sr-Cyrl-BA"/>
                      </w:rPr>
                      <w:t>Web</w:t>
                    </w:r>
                    <w:proofErr w:type="spellEnd"/>
                    <w:r w:rsidRPr="00EC6422">
                      <w:rPr>
                        <w:rFonts w:ascii="Times New Roman" w:hAnsi="Times New Roman" w:cs="Times New Roman"/>
                        <w:b/>
                        <w:lang w:val="sr-Cyrl-BA"/>
                      </w:rPr>
                      <w:t>:</w:t>
                    </w:r>
                  </w:p>
                </w:tc>
                <w:tc>
                  <w:tcPr>
                    <w:tcW w:w="4405" w:type="dxa"/>
                  </w:tcPr>
                  <w:p w14:paraId="2064FBC3" w14:textId="77777777" w:rsidR="009628CE" w:rsidRPr="00EC6422" w:rsidRDefault="00000000" w:rsidP="006B6E0C">
                    <w:pPr>
                      <w:spacing w:after="0" w:line="240" w:lineRule="auto"/>
                      <w:jc w:val="right"/>
                      <w:rPr>
                        <w:rFonts w:ascii="Times New Roman" w:hAnsi="Times New Roman" w:cs="Times New Roman"/>
                        <w:lang w:val="sr-Cyrl-BA"/>
                      </w:rPr>
                    </w:pPr>
                    <w:hyperlink r:id="rId11" w:history="1">
                      <w:r w:rsidR="009628CE" w:rsidRPr="00EC6422">
                        <w:rPr>
                          <w:rStyle w:val="Hyperlink"/>
                          <w:rFonts w:ascii="Times New Roman" w:hAnsi="Times New Roman" w:cs="Times New Roman"/>
                          <w:bCs/>
                          <w:lang w:val="sr-Cyrl-BA"/>
                        </w:rPr>
                        <w:t>www.secrs.gov.ba</w:t>
                      </w:r>
                    </w:hyperlink>
                  </w:p>
                </w:tc>
              </w:tr>
            </w:tbl>
            <w:p w14:paraId="73C0066C" w14:textId="530259EC" w:rsidR="009628CE" w:rsidRPr="00EC6422" w:rsidRDefault="004B4826" w:rsidP="006B6E0C">
              <w:pPr>
                <w:spacing w:before="0" w:after="0" w:line="240" w:lineRule="auto"/>
                <w:rPr>
                  <w:lang w:val="sr-Cyrl-BA"/>
                </w:rPr>
              </w:pPr>
              <w:r>
                <w:rPr>
                  <w:noProof/>
                </w:rPr>
                <mc:AlternateContent>
                  <mc:Choice Requires="wps">
                    <w:drawing>
                      <wp:anchor distT="0" distB="0" distL="114300" distR="114300" simplePos="0" relativeHeight="251662336" behindDoc="1" locked="0" layoutInCell="1" allowOverlap="1" wp14:anchorId="4886FECD" wp14:editId="728BDE83">
                        <wp:simplePos x="0" y="0"/>
                        <wp:positionH relativeFrom="column">
                          <wp:posOffset>-439420</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96525" id="Rectangle 1" o:spid="_x0000_s1026" style="position:absolute;margin-left:-34.6pt;margin-top:-170.6pt;width:499.7pt;height:52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" fillcolor="#dbe5f1 [660]" stroked="f"/>
                    </w:pict>
                  </mc:Fallback>
                </mc:AlternateContent>
              </w:r>
            </w:p>
            <w:p w14:paraId="28C35A71" w14:textId="77777777" w:rsidR="009628CE" w:rsidRPr="00EC6422" w:rsidRDefault="009628CE" w:rsidP="006B6E0C">
              <w:pPr>
                <w:spacing w:before="0" w:after="0" w:line="240" w:lineRule="auto"/>
                <w:rPr>
                  <w:lang w:val="sr-Cyrl-BA"/>
                </w:rPr>
              </w:pPr>
            </w:p>
            <w:p w14:paraId="6971689B" w14:textId="77777777" w:rsidR="009628CE" w:rsidRPr="00EC6422" w:rsidRDefault="009628CE" w:rsidP="006B6E0C">
              <w:pPr>
                <w:spacing w:before="0" w:after="0" w:line="240" w:lineRule="auto"/>
                <w:rPr>
                  <w:lang w:val="sr-Cyrl-BA"/>
                </w:rPr>
              </w:pPr>
            </w:p>
            <w:p w14:paraId="3EC6EE0E" w14:textId="77777777" w:rsidR="009628CE" w:rsidRPr="00EC6422" w:rsidRDefault="009628CE" w:rsidP="006B6E0C">
              <w:pPr>
                <w:spacing w:before="0" w:after="0" w:line="240" w:lineRule="auto"/>
                <w:rPr>
                  <w:lang w:val="sr-Cyrl-BA"/>
                </w:rPr>
              </w:pPr>
            </w:p>
            <w:p w14:paraId="70A77091" w14:textId="77777777" w:rsidR="009628CE" w:rsidRPr="00EC6422" w:rsidRDefault="009628CE" w:rsidP="006B6E0C">
              <w:pPr>
                <w:spacing w:before="0" w:after="0" w:line="240" w:lineRule="auto"/>
                <w:rPr>
                  <w:lang w:val="sr-Cyrl-BA"/>
                </w:rPr>
              </w:pPr>
            </w:p>
            <w:p w14:paraId="62965094" w14:textId="77777777" w:rsidR="009628CE" w:rsidRPr="00EC6422" w:rsidRDefault="009628CE" w:rsidP="006B6E0C">
              <w:pPr>
                <w:spacing w:before="0" w:after="0" w:line="240" w:lineRule="auto"/>
                <w:rPr>
                  <w:lang w:val="sr-Cyrl-BA"/>
                </w:rPr>
              </w:pPr>
            </w:p>
            <w:p w14:paraId="3B9E18CE" w14:textId="77777777" w:rsidR="009628CE" w:rsidRPr="00EC6422" w:rsidRDefault="009628CE" w:rsidP="006B6E0C">
              <w:pPr>
                <w:spacing w:before="0" w:after="0" w:line="240" w:lineRule="auto"/>
                <w:rPr>
                  <w:lang w:val="sr-Cyrl-BA"/>
                </w:rPr>
              </w:pPr>
            </w:p>
            <w:p w14:paraId="3B2A64E9" w14:textId="77777777" w:rsidR="009628CE" w:rsidRPr="00EC6422" w:rsidRDefault="009628CE" w:rsidP="006B6E0C">
              <w:pPr>
                <w:spacing w:before="0" w:after="0" w:line="240" w:lineRule="auto"/>
                <w:rPr>
                  <w:lang w:val="sr-Cyrl-BA"/>
                </w:rPr>
              </w:pPr>
            </w:p>
            <w:p w14:paraId="646E22D2" w14:textId="77777777" w:rsidR="009628CE" w:rsidRPr="00EC6422" w:rsidRDefault="009628CE" w:rsidP="006B6E0C">
              <w:pPr>
                <w:spacing w:before="0" w:after="0" w:line="240" w:lineRule="auto"/>
                <w:rPr>
                  <w:lang w:val="sr-Cyrl-BA"/>
                </w:rPr>
              </w:pPr>
            </w:p>
            <w:p w14:paraId="703ACCDE" w14:textId="77777777" w:rsidR="009628CE" w:rsidRPr="00EC6422" w:rsidRDefault="009628CE" w:rsidP="006B6E0C">
              <w:pPr>
                <w:spacing w:before="0" w:after="0" w:line="240" w:lineRule="auto"/>
                <w:rPr>
                  <w:lang w:val="sr-Cyrl-BA"/>
                </w:rPr>
              </w:pPr>
            </w:p>
            <w:p w14:paraId="1AD26726" w14:textId="77777777" w:rsidR="009628CE" w:rsidRPr="00EC6422" w:rsidRDefault="009628CE" w:rsidP="006B6E0C">
              <w:pPr>
                <w:spacing w:before="0" w:after="0" w:line="240" w:lineRule="auto"/>
                <w:rPr>
                  <w:lang w:val="sr-Cyrl-BA"/>
                </w:rPr>
              </w:pPr>
            </w:p>
            <w:p w14:paraId="14CBD215" w14:textId="77777777" w:rsidR="009628CE" w:rsidRPr="00EC6422" w:rsidRDefault="009628CE" w:rsidP="006B6E0C">
              <w:pPr>
                <w:spacing w:before="0" w:after="0" w:line="240" w:lineRule="auto"/>
                <w:rPr>
                  <w:lang w:val="sr-Cyrl-BA"/>
                </w:rPr>
              </w:pPr>
            </w:p>
            <w:p w14:paraId="6A4728B9" w14:textId="77777777" w:rsidR="009628CE" w:rsidRPr="00EC6422" w:rsidRDefault="009628CE" w:rsidP="006B6E0C">
              <w:pPr>
                <w:spacing w:before="0" w:after="0" w:line="240" w:lineRule="auto"/>
                <w:rPr>
                  <w:lang w:val="sr-Cyrl-BA"/>
                </w:rPr>
              </w:pPr>
            </w:p>
            <w:p w14:paraId="46F22AC8" w14:textId="77777777" w:rsidR="009628CE" w:rsidRPr="00EC6422" w:rsidRDefault="009628CE" w:rsidP="006B6E0C">
              <w:pPr>
                <w:spacing w:before="0" w:after="0" w:line="240" w:lineRule="auto"/>
                <w:rPr>
                  <w:lang w:val="sr-Cyrl-BA"/>
                </w:rPr>
              </w:pPr>
            </w:p>
            <w:p w14:paraId="536011DF" w14:textId="77777777" w:rsidR="009628CE" w:rsidRPr="00EC6422" w:rsidRDefault="009628CE" w:rsidP="006B6E0C">
              <w:pPr>
                <w:spacing w:before="0" w:after="0" w:line="240" w:lineRule="auto"/>
                <w:rPr>
                  <w:lang w:val="sr-Cyrl-BA"/>
                </w:rPr>
              </w:pPr>
            </w:p>
            <w:p w14:paraId="279A8256" w14:textId="77777777" w:rsidR="009628CE" w:rsidRPr="00EC6422" w:rsidRDefault="009628CE" w:rsidP="006B6E0C">
              <w:pPr>
                <w:spacing w:before="0" w:after="0" w:line="240" w:lineRule="auto"/>
                <w:rPr>
                  <w:lang w:val="sr-Cyrl-BA"/>
                </w:rPr>
              </w:pPr>
            </w:p>
            <w:p w14:paraId="6D86ED6A" w14:textId="77777777" w:rsidR="009628CE" w:rsidRPr="00EC6422" w:rsidRDefault="009628CE" w:rsidP="006B6E0C">
              <w:pPr>
                <w:spacing w:before="0" w:after="0" w:line="240" w:lineRule="auto"/>
                <w:rPr>
                  <w:lang w:val="sr-Cyrl-BA"/>
                </w:rPr>
              </w:pPr>
            </w:p>
            <w:p w14:paraId="6C4EE2FB" w14:textId="77777777" w:rsidR="009628CE" w:rsidRPr="00EC6422" w:rsidRDefault="009628CE" w:rsidP="006B6E0C">
              <w:pPr>
                <w:spacing w:before="0" w:after="0" w:line="240" w:lineRule="auto"/>
                <w:rPr>
                  <w:lang w:val="sr-Cyrl-BA"/>
                </w:rPr>
              </w:pPr>
            </w:p>
            <w:p w14:paraId="2966B18B" w14:textId="77777777" w:rsidR="009628CE" w:rsidRPr="00EC6422" w:rsidRDefault="009628CE" w:rsidP="006B6E0C">
              <w:pPr>
                <w:spacing w:before="0" w:after="0" w:line="240" w:lineRule="auto"/>
                <w:rPr>
                  <w:lang w:val="sr-Cyrl-BA"/>
                </w:rPr>
              </w:pPr>
            </w:p>
            <w:p w14:paraId="63B5ECCC" w14:textId="77777777" w:rsidR="009628CE" w:rsidRPr="00EC6422" w:rsidRDefault="009628CE" w:rsidP="006B6E0C">
              <w:pPr>
                <w:spacing w:before="0" w:after="0" w:line="240" w:lineRule="auto"/>
                <w:rPr>
                  <w:lang w:val="sr-Cyrl-BA"/>
                </w:rPr>
              </w:pPr>
            </w:p>
            <w:p w14:paraId="554A3D01" w14:textId="77777777" w:rsidR="009628CE" w:rsidRPr="00EC6422" w:rsidRDefault="009628CE" w:rsidP="006B6E0C">
              <w:pPr>
                <w:spacing w:before="0" w:after="0" w:line="240" w:lineRule="auto"/>
                <w:rPr>
                  <w:lang w:val="sr-Cyrl-BA"/>
                </w:rPr>
              </w:pPr>
            </w:p>
            <w:p w14:paraId="1C13229C" w14:textId="77777777" w:rsidR="009628CE" w:rsidRPr="00EC6422" w:rsidRDefault="009628CE" w:rsidP="006B6E0C">
              <w:pPr>
                <w:spacing w:before="0" w:after="0" w:line="240" w:lineRule="auto"/>
                <w:rPr>
                  <w:lang w:val="sr-Cyrl-BA"/>
                </w:rPr>
              </w:pPr>
            </w:p>
            <w:p w14:paraId="25238CF2" w14:textId="77777777" w:rsidR="009628CE" w:rsidRPr="00EC6422" w:rsidRDefault="009628CE" w:rsidP="006B6E0C">
              <w:pPr>
                <w:spacing w:before="0" w:after="0" w:line="240" w:lineRule="auto"/>
                <w:rPr>
                  <w:lang w:val="sr-Cyrl-BA"/>
                </w:rPr>
              </w:pPr>
            </w:p>
            <w:p w14:paraId="5FE2E452" w14:textId="77777777" w:rsidR="009628CE" w:rsidRPr="00EC6422" w:rsidRDefault="009628CE" w:rsidP="006B6E0C">
              <w:pPr>
                <w:spacing w:before="0" w:after="0" w:line="240" w:lineRule="auto"/>
                <w:rPr>
                  <w:lang w:val="sr-Cyrl-BA"/>
                </w:rPr>
              </w:pPr>
            </w:p>
            <w:p w14:paraId="1E5E17C6" w14:textId="77777777" w:rsidR="009628CE" w:rsidRPr="00EC6422" w:rsidRDefault="009628CE" w:rsidP="006B6E0C">
              <w:pPr>
                <w:spacing w:before="0" w:after="0" w:line="240" w:lineRule="auto"/>
                <w:rPr>
                  <w:lang w:val="sr-Cyrl-BA"/>
                </w:rPr>
              </w:pPr>
            </w:p>
            <w:p w14:paraId="1AC2D5AF" w14:textId="77777777" w:rsidR="009628CE" w:rsidRPr="00EC6422" w:rsidRDefault="009628CE" w:rsidP="006B6E0C">
              <w:pPr>
                <w:spacing w:before="0" w:after="0" w:line="240" w:lineRule="auto"/>
                <w:rPr>
                  <w:lang w:val="sr-Cyrl-BA"/>
                </w:rPr>
              </w:pPr>
            </w:p>
            <w:p w14:paraId="3F8C4A61" w14:textId="77777777" w:rsidR="009628CE" w:rsidRPr="00EC6422" w:rsidRDefault="009628CE" w:rsidP="006B6E0C">
              <w:pPr>
                <w:spacing w:before="0" w:after="0" w:line="240" w:lineRule="auto"/>
                <w:rPr>
                  <w:lang w:val="sr-Cyrl-BA"/>
                </w:rPr>
              </w:pPr>
            </w:p>
            <w:p w14:paraId="040E40BC" w14:textId="23C459F8" w:rsidR="009628CE" w:rsidRPr="00EC6422" w:rsidRDefault="0048457A" w:rsidP="006B6E0C">
              <w:pPr>
                <w:spacing w:before="0" w:after="0" w:line="240" w:lineRule="auto"/>
                <w:rPr>
                  <w:lang w:val="sr-Cyrl-BA"/>
                </w:rPr>
              </w:pPr>
              <w:r>
                <w:rPr>
                  <w:b/>
                  <w:bCs/>
                  <w:noProof/>
                </w:rPr>
                <mc:AlternateContent>
                  <mc:Choice Requires="wps">
                    <w:drawing>
                      <wp:anchor distT="0" distB="0" distL="114300" distR="114300" simplePos="0" relativeHeight="251663360" behindDoc="1" locked="0" layoutInCell="1" allowOverlap="1" wp14:anchorId="7DE9DBC2" wp14:editId="798CA5DF">
                        <wp:simplePos x="0" y="0"/>
                        <wp:positionH relativeFrom="column">
                          <wp:posOffset>-445135</wp:posOffset>
                        </wp:positionH>
                        <wp:positionV relativeFrom="paragraph">
                          <wp:posOffset>149225</wp:posOffset>
                        </wp:positionV>
                        <wp:extent cx="6346190" cy="26765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67652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1E64C" id="Rectangle 1" o:spid="_x0000_s1026" style="position:absolute;margin-left:-35.05pt;margin-top:11.75pt;width:499.7pt;height:21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" fillcolor="#b8cce4 [1300]" stroked="f"/>
                    </w:pict>
                  </mc:Fallback>
                </mc:AlternateContent>
              </w:r>
            </w:p>
            <w:p w14:paraId="31D62971" w14:textId="77777777" w:rsidR="009628CE" w:rsidRPr="00EC6422" w:rsidRDefault="009628CE" w:rsidP="006B6E0C">
              <w:pPr>
                <w:spacing w:before="0" w:after="0" w:line="240" w:lineRule="auto"/>
                <w:rPr>
                  <w:lang w:val="sr-Cyrl-BA"/>
                </w:rPr>
              </w:pPr>
            </w:p>
            <w:p w14:paraId="00008FEC" w14:textId="77777777" w:rsidR="009628CE" w:rsidRPr="00EC6422" w:rsidRDefault="009628CE" w:rsidP="006B6E0C">
              <w:pPr>
                <w:spacing w:before="0" w:after="0" w:line="240" w:lineRule="auto"/>
                <w:rPr>
                  <w:lang w:val="sr-Cyrl-BA"/>
                </w:rPr>
              </w:pPr>
            </w:p>
            <w:p w14:paraId="309E093B" w14:textId="77777777" w:rsidR="009628CE" w:rsidRPr="00EC6422" w:rsidRDefault="009628CE" w:rsidP="006B6E0C">
              <w:pPr>
                <w:spacing w:before="0" w:after="0" w:line="240" w:lineRule="auto"/>
                <w:rPr>
                  <w:lang w:val="sr-Cyrl-BA"/>
                </w:rPr>
              </w:pPr>
            </w:p>
            <w:p w14:paraId="39D4F4A0" w14:textId="77777777" w:rsidR="009628CE" w:rsidRPr="00EC6422" w:rsidRDefault="009628CE" w:rsidP="006B6E0C">
              <w:pPr>
                <w:spacing w:before="0" w:after="0" w:line="240" w:lineRule="auto"/>
                <w:rPr>
                  <w:lang w:val="sr-Cyrl-BA"/>
                </w:rPr>
              </w:pPr>
            </w:p>
            <w:p w14:paraId="39B97DBC" w14:textId="77777777" w:rsidR="009628CE" w:rsidRPr="00EC6422" w:rsidRDefault="009628CE" w:rsidP="006B6E0C">
              <w:pPr>
                <w:spacing w:before="0" w:after="0" w:line="240" w:lineRule="auto"/>
                <w:rPr>
                  <w:lang w:val="sr-Cyrl-BA"/>
                </w:rPr>
              </w:pPr>
            </w:p>
            <w:p w14:paraId="1C196672" w14:textId="77777777" w:rsidR="009628CE" w:rsidRPr="00EC6422" w:rsidRDefault="009628CE" w:rsidP="006B6E0C">
              <w:pPr>
                <w:spacing w:before="0" w:after="0" w:line="240" w:lineRule="auto"/>
                <w:rPr>
                  <w:lang w:val="sr-Cyrl-BA"/>
                </w:rPr>
              </w:pPr>
            </w:p>
            <w:p w14:paraId="157BF264" w14:textId="77777777" w:rsidR="009628CE" w:rsidRPr="00EC6422" w:rsidRDefault="009628CE" w:rsidP="006B6E0C">
              <w:pPr>
                <w:spacing w:before="0" w:after="0" w:line="240" w:lineRule="auto"/>
                <w:rPr>
                  <w:lang w:val="sr-Cyrl-BA"/>
                </w:rPr>
              </w:pPr>
            </w:p>
            <w:p w14:paraId="4F0EAB09" w14:textId="77777777" w:rsidR="009628CE" w:rsidRPr="00EC6422" w:rsidRDefault="009628CE" w:rsidP="006B6E0C">
              <w:pPr>
                <w:spacing w:before="0" w:after="0" w:line="240" w:lineRule="auto"/>
                <w:rPr>
                  <w:lang w:val="sr-Cyrl-BA"/>
                </w:rPr>
              </w:pPr>
            </w:p>
            <w:p w14:paraId="00C467C4" w14:textId="77777777" w:rsidR="009628CE" w:rsidRPr="00EC6422" w:rsidRDefault="009628CE" w:rsidP="006B6E0C">
              <w:pPr>
                <w:spacing w:before="0" w:after="0" w:line="240" w:lineRule="auto"/>
                <w:rPr>
                  <w:lang w:val="sr-Cyrl-BA"/>
                </w:rPr>
              </w:pPr>
            </w:p>
            <w:p w14:paraId="09CD8879" w14:textId="77777777" w:rsidR="009628CE" w:rsidRPr="00EC6422" w:rsidRDefault="009628CE" w:rsidP="006B6E0C">
              <w:pPr>
                <w:spacing w:before="0" w:after="0" w:line="240" w:lineRule="auto"/>
                <w:rPr>
                  <w:lang w:val="sr-Cyrl-BA"/>
                </w:rPr>
              </w:pPr>
            </w:p>
            <w:p w14:paraId="2CF93B43" w14:textId="77777777" w:rsidR="009628CE" w:rsidRPr="00EC6422" w:rsidRDefault="009628CE" w:rsidP="006B6E0C">
              <w:pPr>
                <w:pStyle w:val="NoSpacing"/>
                <w:spacing w:before="0" w:after="0" w:line="240" w:lineRule="auto"/>
                <w:jc w:val="center"/>
                <w:rPr>
                  <w:b/>
                  <w:bCs/>
                  <w:sz w:val="28"/>
                  <w:lang w:val="sr-Cyrl-BA"/>
                </w:rPr>
              </w:pPr>
              <w:r w:rsidRPr="00EC6422">
                <w:rPr>
                  <w:b/>
                  <w:bCs/>
                  <w:sz w:val="28"/>
                  <w:lang w:val="sr-Cyrl-BA"/>
                </w:rPr>
                <w:t>Извјештај о раду</w:t>
              </w:r>
            </w:p>
            <w:p w14:paraId="70634C3F" w14:textId="7A6F6A53" w:rsidR="009628CE" w:rsidRPr="00EC6422" w:rsidRDefault="00000000" w:rsidP="006B6E0C">
              <w:pPr>
                <w:pStyle w:val="NoSpacing"/>
                <w:spacing w:before="0" w:after="0" w:line="240" w:lineRule="auto"/>
                <w:jc w:val="center"/>
                <w:rPr>
                  <w:bCs/>
                  <w:lang w:val="sr-Cyrl-BA"/>
                </w:rPr>
              </w:pPr>
              <w:hyperlink r:id="rId12" w:history="1">
                <w:r w:rsidR="0060565E" w:rsidRPr="008F6077">
                  <w:rPr>
                    <w:rStyle w:val="Hyperlink"/>
                    <w:bCs/>
                    <w:lang w:val="sr-Cyrl-BA"/>
                  </w:rPr>
                  <w:t xml:space="preserve">www.secrs.gov.ba/Izvjestaji/Izvjestaj o </w:t>
                </w:r>
                <w:proofErr w:type="spellStart"/>
                <w:r w:rsidR="0060565E" w:rsidRPr="008F6077">
                  <w:rPr>
                    <w:rStyle w:val="Hyperlink"/>
                    <w:bCs/>
                    <w:lang w:val="sr-Cyrl-BA"/>
                  </w:rPr>
                  <w:t>radu</w:t>
                </w:r>
                <w:proofErr w:type="spellEnd"/>
                <w:r w:rsidR="0060565E" w:rsidRPr="008F6077">
                  <w:rPr>
                    <w:rStyle w:val="Hyperlink"/>
                    <w:bCs/>
                    <w:lang w:val="sr-Cyrl-BA"/>
                  </w:rPr>
                  <w:t xml:space="preserve"> 202</w:t>
                </w:r>
                <w:r w:rsidR="0060565E" w:rsidRPr="008F6077">
                  <w:rPr>
                    <w:rStyle w:val="Hyperlink"/>
                    <w:bCs/>
                    <w:lang w:val="sr-Latn-BA"/>
                  </w:rPr>
                  <w:t>3</w:t>
                </w:r>
                <w:r w:rsidR="0060565E" w:rsidRPr="008F6077">
                  <w:rPr>
                    <w:rStyle w:val="Hyperlink"/>
                    <w:bCs/>
                    <w:lang w:val="sr-Cyrl-BA"/>
                  </w:rPr>
                  <w:t>.</w:t>
                </w:r>
                <w:proofErr w:type="spellStart"/>
                <w:r w:rsidR="0060565E" w:rsidRPr="008F6077">
                  <w:rPr>
                    <w:rStyle w:val="Hyperlink"/>
                    <w:bCs/>
                    <w:lang w:val="sr-Cyrl-BA"/>
                  </w:rPr>
                  <w:t>pdf</w:t>
                </w:r>
                <w:proofErr w:type="spellEnd"/>
              </w:hyperlink>
            </w:p>
            <w:p w14:paraId="2C70F959" w14:textId="77777777" w:rsidR="009628CE" w:rsidRPr="00EC6422" w:rsidRDefault="00000000" w:rsidP="006B6E0C">
              <w:pPr>
                <w:pStyle w:val="NoSpacing"/>
                <w:spacing w:before="0" w:after="0" w:line="240" w:lineRule="auto"/>
                <w:rPr>
                  <w:bCs/>
                  <w:lang w:val="sr-Cyrl-BA"/>
                </w:rPr>
              </w:pPr>
            </w:p>
          </w:sdtContent>
        </w:sdt>
      </w:sdtContent>
    </w:sdt>
    <w:p w14:paraId="051A8F25" w14:textId="77777777" w:rsidR="009628CE" w:rsidRPr="00EC6422" w:rsidRDefault="009628CE" w:rsidP="00D46B8D">
      <w:pPr>
        <w:spacing w:after="480" w:line="240" w:lineRule="auto"/>
        <w:ind w:firstLine="0"/>
        <w:rPr>
          <w:b/>
          <w:caps/>
          <w:lang w:val="sr-Cyrl-BA"/>
        </w:rPr>
      </w:pPr>
      <w:r w:rsidRPr="00EC6422">
        <w:rPr>
          <w:b/>
          <w:lang w:val="sr-Cyrl-BA"/>
        </w:rPr>
        <w:lastRenderedPageBreak/>
        <w:t>САДРЖАЈ</w:t>
      </w:r>
    </w:p>
    <w:p w14:paraId="486A10E5" w14:textId="6348869F" w:rsidR="0041052D" w:rsidRDefault="00D3478F">
      <w:pPr>
        <w:pStyle w:val="TOC1"/>
        <w:rPr>
          <w:rFonts w:asciiTheme="minorHAnsi" w:eastAsiaTheme="minorEastAsia" w:hAnsiTheme="minorHAnsi" w:cstheme="minorBidi"/>
          <w:b w:val="0"/>
          <w:bCs w:val="0"/>
          <w:caps w:val="0"/>
          <w:color w:val="auto"/>
          <w:sz w:val="22"/>
          <w:szCs w:val="22"/>
          <w:lang w:val="bs-Latn-BA" w:eastAsia="bs-Latn-BA"/>
        </w:rPr>
      </w:pPr>
      <w:r w:rsidRPr="00EC6422">
        <w:rPr>
          <w:rFonts w:cs="Times New Roman"/>
          <w:color w:val="000000"/>
          <w:sz w:val="22"/>
          <w:szCs w:val="22"/>
          <w14:textFill>
            <w14:solidFill>
              <w14:srgbClr w14:val="000000">
                <w14:lumMod w14:val="75000"/>
              </w14:srgbClr>
            </w14:solidFill>
          </w14:textFill>
        </w:rPr>
        <w:fldChar w:fldCharType="begin"/>
      </w:r>
      <w:r w:rsidR="009628CE" w:rsidRPr="00EC6422">
        <w:rPr>
          <w:rFonts w:cs="Times New Roman"/>
          <w:sz w:val="22"/>
          <w:szCs w:val="22"/>
        </w:rPr>
        <w:instrText xml:space="preserve"> TOC \o "2-3" \h \z \t "Heading 1;1" </w:instrText>
      </w:r>
      <w:r w:rsidRPr="00EC6422">
        <w:rPr>
          <w:rFonts w:cs="Times New Roman"/>
          <w:color w:val="000000"/>
          <w:sz w:val="22"/>
          <w:szCs w:val="22"/>
          <w14:textFill>
            <w14:solidFill>
              <w14:srgbClr w14:val="000000">
                <w14:lumMod w14:val="75000"/>
              </w14:srgbClr>
            </w14:solidFill>
          </w14:textFill>
        </w:rPr>
        <w:fldChar w:fldCharType="separate"/>
      </w:r>
      <w:hyperlink w:anchor="_Toc167960418" w:history="1">
        <w:r w:rsidR="0041052D" w:rsidRPr="00342AAC">
          <w:rPr>
            <w:rStyle w:val="Hyperlink"/>
          </w:rPr>
          <w:t>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ОСНОВНИ ПОДАЦИ О КОМИСИЈИ</w:t>
        </w:r>
        <w:r w:rsidR="0041052D">
          <w:rPr>
            <w:webHidden/>
          </w:rPr>
          <w:tab/>
        </w:r>
        <w:r w:rsidR="0041052D">
          <w:rPr>
            <w:webHidden/>
          </w:rPr>
          <w:fldChar w:fldCharType="begin"/>
        </w:r>
        <w:r w:rsidR="0041052D">
          <w:rPr>
            <w:webHidden/>
          </w:rPr>
          <w:instrText xml:space="preserve"> PAGEREF _Toc167960418 \h </w:instrText>
        </w:r>
        <w:r w:rsidR="0041052D">
          <w:rPr>
            <w:webHidden/>
          </w:rPr>
        </w:r>
        <w:r w:rsidR="0041052D">
          <w:rPr>
            <w:webHidden/>
          </w:rPr>
          <w:fldChar w:fldCharType="separate"/>
        </w:r>
        <w:r w:rsidR="0008547C">
          <w:rPr>
            <w:webHidden/>
          </w:rPr>
          <w:t>4</w:t>
        </w:r>
        <w:r w:rsidR="0041052D">
          <w:rPr>
            <w:webHidden/>
          </w:rPr>
          <w:fldChar w:fldCharType="end"/>
        </w:r>
      </w:hyperlink>
    </w:p>
    <w:p w14:paraId="2816F723" w14:textId="5E66A3F0" w:rsidR="0041052D" w:rsidRDefault="00000000">
      <w:pPr>
        <w:pStyle w:val="TOC2"/>
        <w:rPr>
          <w:rFonts w:asciiTheme="minorHAnsi" w:eastAsiaTheme="minorEastAsia" w:hAnsiTheme="minorHAnsi" w:cstheme="minorBidi"/>
          <w:sz w:val="22"/>
          <w:szCs w:val="22"/>
          <w:lang w:val="bs-Latn-BA" w:eastAsia="bs-Latn-BA"/>
        </w:rPr>
      </w:pPr>
      <w:hyperlink w:anchor="_Toc167960419"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Оснивање, правни статус и надлежности Комисије</w:t>
        </w:r>
        <w:r w:rsidR="0041052D">
          <w:rPr>
            <w:webHidden/>
          </w:rPr>
          <w:tab/>
        </w:r>
        <w:r w:rsidR="0041052D">
          <w:rPr>
            <w:webHidden/>
          </w:rPr>
          <w:fldChar w:fldCharType="begin"/>
        </w:r>
        <w:r w:rsidR="0041052D">
          <w:rPr>
            <w:webHidden/>
          </w:rPr>
          <w:instrText xml:space="preserve"> PAGEREF _Toc167960419 \h </w:instrText>
        </w:r>
        <w:r w:rsidR="0041052D">
          <w:rPr>
            <w:webHidden/>
          </w:rPr>
        </w:r>
        <w:r w:rsidR="0041052D">
          <w:rPr>
            <w:webHidden/>
          </w:rPr>
          <w:fldChar w:fldCharType="separate"/>
        </w:r>
        <w:r w:rsidR="0008547C">
          <w:rPr>
            <w:webHidden/>
          </w:rPr>
          <w:t>4</w:t>
        </w:r>
        <w:r w:rsidR="0041052D">
          <w:rPr>
            <w:webHidden/>
          </w:rPr>
          <w:fldChar w:fldCharType="end"/>
        </w:r>
      </w:hyperlink>
    </w:p>
    <w:p w14:paraId="1413BA4E" w14:textId="639834FE" w:rsidR="0041052D" w:rsidRDefault="00000000">
      <w:pPr>
        <w:pStyle w:val="TOC2"/>
        <w:rPr>
          <w:rFonts w:asciiTheme="minorHAnsi" w:eastAsiaTheme="minorEastAsia" w:hAnsiTheme="minorHAnsi" w:cstheme="minorBidi"/>
          <w:sz w:val="22"/>
          <w:szCs w:val="22"/>
          <w:lang w:val="bs-Latn-BA" w:eastAsia="bs-Latn-BA"/>
        </w:rPr>
      </w:pPr>
      <w:hyperlink w:anchor="_Toc167960420"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Именовање чланова и састав Комисије</w:t>
        </w:r>
        <w:r w:rsidR="0041052D">
          <w:rPr>
            <w:webHidden/>
          </w:rPr>
          <w:tab/>
        </w:r>
        <w:r w:rsidR="0041052D">
          <w:rPr>
            <w:webHidden/>
          </w:rPr>
          <w:fldChar w:fldCharType="begin"/>
        </w:r>
        <w:r w:rsidR="0041052D">
          <w:rPr>
            <w:webHidden/>
          </w:rPr>
          <w:instrText xml:space="preserve"> PAGEREF _Toc167960420 \h </w:instrText>
        </w:r>
        <w:r w:rsidR="0041052D">
          <w:rPr>
            <w:webHidden/>
          </w:rPr>
        </w:r>
        <w:r w:rsidR="0041052D">
          <w:rPr>
            <w:webHidden/>
          </w:rPr>
          <w:fldChar w:fldCharType="separate"/>
        </w:r>
        <w:r w:rsidR="0008547C">
          <w:rPr>
            <w:webHidden/>
          </w:rPr>
          <w:t>5</w:t>
        </w:r>
        <w:r w:rsidR="0041052D">
          <w:rPr>
            <w:webHidden/>
          </w:rPr>
          <w:fldChar w:fldCharType="end"/>
        </w:r>
      </w:hyperlink>
    </w:p>
    <w:p w14:paraId="53DF0BD7" w14:textId="4C7C43A5" w:rsidR="0041052D" w:rsidRDefault="00000000">
      <w:pPr>
        <w:pStyle w:val="TOC2"/>
        <w:rPr>
          <w:rFonts w:asciiTheme="minorHAnsi" w:eastAsiaTheme="minorEastAsia" w:hAnsiTheme="minorHAnsi" w:cstheme="minorBidi"/>
          <w:sz w:val="22"/>
          <w:szCs w:val="22"/>
          <w:lang w:val="bs-Latn-BA" w:eastAsia="bs-Latn-BA"/>
        </w:rPr>
      </w:pPr>
      <w:hyperlink w:anchor="_Toc167960421" w:history="1">
        <w:r w:rsidR="0041052D" w:rsidRPr="00342AAC">
          <w:rPr>
            <w:rStyle w:val="Hyperlink"/>
          </w:rPr>
          <w:t>3.</w:t>
        </w:r>
        <w:r w:rsidR="0041052D">
          <w:rPr>
            <w:rFonts w:asciiTheme="minorHAnsi" w:eastAsiaTheme="minorEastAsia" w:hAnsiTheme="minorHAnsi" w:cstheme="minorBidi"/>
            <w:sz w:val="22"/>
            <w:szCs w:val="22"/>
            <w:lang w:val="bs-Latn-BA" w:eastAsia="bs-Latn-BA"/>
          </w:rPr>
          <w:tab/>
        </w:r>
        <w:r w:rsidR="0041052D" w:rsidRPr="00342AAC">
          <w:rPr>
            <w:rStyle w:val="Hyperlink"/>
          </w:rPr>
          <w:t>Организациона структура Комисије</w:t>
        </w:r>
        <w:r w:rsidR="0041052D">
          <w:rPr>
            <w:webHidden/>
          </w:rPr>
          <w:tab/>
        </w:r>
        <w:r w:rsidR="0041052D">
          <w:rPr>
            <w:webHidden/>
          </w:rPr>
          <w:fldChar w:fldCharType="begin"/>
        </w:r>
        <w:r w:rsidR="0041052D">
          <w:rPr>
            <w:webHidden/>
          </w:rPr>
          <w:instrText xml:space="preserve"> PAGEREF _Toc167960421 \h </w:instrText>
        </w:r>
        <w:r w:rsidR="0041052D">
          <w:rPr>
            <w:webHidden/>
          </w:rPr>
        </w:r>
        <w:r w:rsidR="0041052D">
          <w:rPr>
            <w:webHidden/>
          </w:rPr>
          <w:fldChar w:fldCharType="separate"/>
        </w:r>
        <w:r w:rsidR="0008547C">
          <w:rPr>
            <w:webHidden/>
          </w:rPr>
          <w:t>6</w:t>
        </w:r>
        <w:r w:rsidR="0041052D">
          <w:rPr>
            <w:webHidden/>
          </w:rPr>
          <w:fldChar w:fldCharType="end"/>
        </w:r>
      </w:hyperlink>
    </w:p>
    <w:p w14:paraId="2ED61837" w14:textId="6DCFCBDD"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2" w:history="1">
        <w:r w:rsidR="0041052D" w:rsidRPr="00342AAC">
          <w:rPr>
            <w:rStyle w:val="Hyperlink"/>
          </w:rPr>
          <w:t>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СТАТИСТИЧКИ ПОДАЦИ О РАДУ КОМИСИЈЕ</w:t>
        </w:r>
        <w:r w:rsidR="0041052D">
          <w:rPr>
            <w:webHidden/>
          </w:rPr>
          <w:tab/>
        </w:r>
        <w:r w:rsidR="0041052D">
          <w:rPr>
            <w:webHidden/>
          </w:rPr>
          <w:fldChar w:fldCharType="begin"/>
        </w:r>
        <w:r w:rsidR="0041052D">
          <w:rPr>
            <w:webHidden/>
          </w:rPr>
          <w:instrText xml:space="preserve"> PAGEREF _Toc167960422 \h </w:instrText>
        </w:r>
        <w:r w:rsidR="0041052D">
          <w:rPr>
            <w:webHidden/>
          </w:rPr>
        </w:r>
        <w:r w:rsidR="0041052D">
          <w:rPr>
            <w:webHidden/>
          </w:rPr>
          <w:fldChar w:fldCharType="separate"/>
        </w:r>
        <w:r w:rsidR="0008547C">
          <w:rPr>
            <w:webHidden/>
          </w:rPr>
          <w:t>7</w:t>
        </w:r>
        <w:r w:rsidR="0041052D">
          <w:rPr>
            <w:webHidden/>
          </w:rPr>
          <w:fldChar w:fldCharType="end"/>
        </w:r>
      </w:hyperlink>
    </w:p>
    <w:p w14:paraId="666BB90A" w14:textId="391B2F98" w:rsidR="0041052D" w:rsidRDefault="00000000">
      <w:pPr>
        <w:pStyle w:val="TOC2"/>
        <w:rPr>
          <w:rFonts w:asciiTheme="minorHAnsi" w:eastAsiaTheme="minorEastAsia" w:hAnsiTheme="minorHAnsi" w:cstheme="minorBidi"/>
          <w:sz w:val="22"/>
          <w:szCs w:val="22"/>
          <w:lang w:val="bs-Latn-BA" w:eastAsia="bs-Latn-BA"/>
        </w:rPr>
      </w:pPr>
      <w:hyperlink w:anchor="_Toc167960423"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Сједнице Комисије</w:t>
        </w:r>
        <w:r w:rsidR="0041052D">
          <w:rPr>
            <w:webHidden/>
          </w:rPr>
          <w:tab/>
        </w:r>
        <w:r w:rsidR="0041052D">
          <w:rPr>
            <w:webHidden/>
          </w:rPr>
          <w:fldChar w:fldCharType="begin"/>
        </w:r>
        <w:r w:rsidR="0041052D">
          <w:rPr>
            <w:webHidden/>
          </w:rPr>
          <w:instrText xml:space="preserve"> PAGEREF _Toc167960423 \h </w:instrText>
        </w:r>
        <w:r w:rsidR="0041052D">
          <w:rPr>
            <w:webHidden/>
          </w:rPr>
        </w:r>
        <w:r w:rsidR="0041052D">
          <w:rPr>
            <w:webHidden/>
          </w:rPr>
          <w:fldChar w:fldCharType="separate"/>
        </w:r>
        <w:r w:rsidR="0008547C">
          <w:rPr>
            <w:webHidden/>
          </w:rPr>
          <w:t>7</w:t>
        </w:r>
        <w:r w:rsidR="0041052D">
          <w:rPr>
            <w:webHidden/>
          </w:rPr>
          <w:fldChar w:fldCharType="end"/>
        </w:r>
      </w:hyperlink>
    </w:p>
    <w:p w14:paraId="4DA6A447" w14:textId="49DB2037" w:rsidR="0041052D" w:rsidRDefault="00000000">
      <w:pPr>
        <w:pStyle w:val="TOC2"/>
        <w:rPr>
          <w:rFonts w:asciiTheme="minorHAnsi" w:eastAsiaTheme="minorEastAsia" w:hAnsiTheme="minorHAnsi" w:cstheme="minorBidi"/>
          <w:sz w:val="22"/>
          <w:szCs w:val="22"/>
          <w:lang w:val="bs-Latn-BA" w:eastAsia="bs-Latn-BA"/>
        </w:rPr>
      </w:pPr>
      <w:hyperlink w:anchor="_Toc167960424"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Регистри и евиденције Комисије</w:t>
        </w:r>
        <w:r w:rsidR="0041052D">
          <w:rPr>
            <w:webHidden/>
          </w:rPr>
          <w:tab/>
        </w:r>
        <w:r w:rsidR="0041052D">
          <w:rPr>
            <w:webHidden/>
          </w:rPr>
          <w:fldChar w:fldCharType="begin"/>
        </w:r>
        <w:r w:rsidR="0041052D">
          <w:rPr>
            <w:webHidden/>
          </w:rPr>
          <w:instrText xml:space="preserve"> PAGEREF _Toc167960424 \h </w:instrText>
        </w:r>
        <w:r w:rsidR="0041052D">
          <w:rPr>
            <w:webHidden/>
          </w:rPr>
        </w:r>
        <w:r w:rsidR="0041052D">
          <w:rPr>
            <w:webHidden/>
          </w:rPr>
          <w:fldChar w:fldCharType="separate"/>
        </w:r>
        <w:r w:rsidR="0008547C">
          <w:rPr>
            <w:webHidden/>
          </w:rPr>
          <w:t>8</w:t>
        </w:r>
        <w:r w:rsidR="0041052D">
          <w:rPr>
            <w:webHidden/>
          </w:rPr>
          <w:fldChar w:fldCharType="end"/>
        </w:r>
      </w:hyperlink>
    </w:p>
    <w:p w14:paraId="0CF90400" w14:textId="3ED2709B"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5" w:history="1">
        <w:r w:rsidR="0041052D" w:rsidRPr="00342AAC">
          <w:rPr>
            <w:rStyle w:val="Hyperlink"/>
          </w:rPr>
          <w:t>III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ЕМИСИЈА ХАРТИЈА ОД ВРИЈЕДНОСТИ</w:t>
        </w:r>
        <w:r w:rsidR="0041052D">
          <w:rPr>
            <w:webHidden/>
          </w:rPr>
          <w:tab/>
        </w:r>
        <w:r w:rsidR="0041052D">
          <w:rPr>
            <w:webHidden/>
          </w:rPr>
          <w:fldChar w:fldCharType="begin"/>
        </w:r>
        <w:r w:rsidR="0041052D">
          <w:rPr>
            <w:webHidden/>
          </w:rPr>
          <w:instrText xml:space="preserve"> PAGEREF _Toc167960425 \h </w:instrText>
        </w:r>
        <w:r w:rsidR="0041052D">
          <w:rPr>
            <w:webHidden/>
          </w:rPr>
        </w:r>
        <w:r w:rsidR="0041052D">
          <w:rPr>
            <w:webHidden/>
          </w:rPr>
          <w:fldChar w:fldCharType="separate"/>
        </w:r>
        <w:r w:rsidR="0008547C">
          <w:rPr>
            <w:webHidden/>
          </w:rPr>
          <w:t>9</w:t>
        </w:r>
        <w:r w:rsidR="0041052D">
          <w:rPr>
            <w:webHidden/>
          </w:rPr>
          <w:fldChar w:fldCharType="end"/>
        </w:r>
      </w:hyperlink>
    </w:p>
    <w:p w14:paraId="481B1D0F" w14:textId="101FFA92"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6" w:history="1">
        <w:r w:rsidR="0041052D" w:rsidRPr="00342AAC">
          <w:rPr>
            <w:rStyle w:val="Hyperlink"/>
          </w:rPr>
          <w:t>IV</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 xml:space="preserve">ИЗВЈЕШТАВАЊЕ И ОБЈАВЉИВАЊE ИНФОРМАЦИЈА ОД СТРАНЕ ЕМИТЕНАТА ХАРТИЈА ОД ВРИЈЕДНОСТИ КОЈЕ СУ ПРЕДМЕТ </w:t>
        </w:r>
        <w:r w:rsidR="0008547C">
          <w:rPr>
            <w:rStyle w:val="Hyperlink"/>
          </w:rPr>
          <w:br/>
        </w:r>
        <w:r w:rsidR="0041052D" w:rsidRPr="00342AAC">
          <w:rPr>
            <w:rStyle w:val="Hyperlink"/>
          </w:rPr>
          <w:t>ЈАВНЕ ПРОДАЈЕ</w:t>
        </w:r>
        <w:r w:rsidR="0041052D">
          <w:rPr>
            <w:webHidden/>
          </w:rPr>
          <w:tab/>
        </w:r>
        <w:r w:rsidR="0041052D">
          <w:rPr>
            <w:webHidden/>
          </w:rPr>
          <w:fldChar w:fldCharType="begin"/>
        </w:r>
        <w:r w:rsidR="0041052D">
          <w:rPr>
            <w:webHidden/>
          </w:rPr>
          <w:instrText xml:space="preserve"> PAGEREF _Toc167960426 \h </w:instrText>
        </w:r>
        <w:r w:rsidR="0041052D">
          <w:rPr>
            <w:webHidden/>
          </w:rPr>
        </w:r>
        <w:r w:rsidR="0041052D">
          <w:rPr>
            <w:webHidden/>
          </w:rPr>
          <w:fldChar w:fldCharType="separate"/>
        </w:r>
        <w:r w:rsidR="0008547C">
          <w:rPr>
            <w:webHidden/>
          </w:rPr>
          <w:t>12</w:t>
        </w:r>
        <w:r w:rsidR="0041052D">
          <w:rPr>
            <w:webHidden/>
          </w:rPr>
          <w:fldChar w:fldCharType="end"/>
        </w:r>
      </w:hyperlink>
    </w:p>
    <w:p w14:paraId="5336B6F8" w14:textId="199F6040"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7" w:history="1">
        <w:r w:rsidR="0041052D" w:rsidRPr="00342AAC">
          <w:rPr>
            <w:rStyle w:val="Hyperlink"/>
          </w:rPr>
          <w:t>V</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ПРЕУЗИМАЊЕ АКЦИОНАРСКИХ ДРУШТАВА</w:t>
        </w:r>
        <w:r w:rsidR="0041052D">
          <w:rPr>
            <w:webHidden/>
          </w:rPr>
          <w:tab/>
        </w:r>
        <w:r w:rsidR="0041052D">
          <w:rPr>
            <w:webHidden/>
          </w:rPr>
          <w:fldChar w:fldCharType="begin"/>
        </w:r>
        <w:r w:rsidR="0041052D">
          <w:rPr>
            <w:webHidden/>
          </w:rPr>
          <w:instrText xml:space="preserve"> PAGEREF _Toc167960427 \h </w:instrText>
        </w:r>
        <w:r w:rsidR="0041052D">
          <w:rPr>
            <w:webHidden/>
          </w:rPr>
        </w:r>
        <w:r w:rsidR="0041052D">
          <w:rPr>
            <w:webHidden/>
          </w:rPr>
          <w:fldChar w:fldCharType="separate"/>
        </w:r>
        <w:r w:rsidR="0008547C">
          <w:rPr>
            <w:webHidden/>
          </w:rPr>
          <w:t>14</w:t>
        </w:r>
        <w:r w:rsidR="0041052D">
          <w:rPr>
            <w:webHidden/>
          </w:rPr>
          <w:fldChar w:fldCharType="end"/>
        </w:r>
      </w:hyperlink>
    </w:p>
    <w:p w14:paraId="75161EDC" w14:textId="28C5AAE0"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8" w:history="1">
        <w:r w:rsidR="0041052D" w:rsidRPr="00342AAC">
          <w:rPr>
            <w:rStyle w:val="Hyperlink"/>
          </w:rPr>
          <w:t>VI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ПРОМЈЕНА ОБЛИКА АКЦИОНАРСКОГ ДРУШТВА И ПРОМЈЕНА ПРАВНЕ ФОРМЕ</w:t>
        </w:r>
        <w:r w:rsidR="0041052D">
          <w:rPr>
            <w:webHidden/>
          </w:rPr>
          <w:tab/>
        </w:r>
        <w:r w:rsidR="0041052D">
          <w:rPr>
            <w:webHidden/>
          </w:rPr>
          <w:fldChar w:fldCharType="begin"/>
        </w:r>
        <w:r w:rsidR="0041052D">
          <w:rPr>
            <w:webHidden/>
          </w:rPr>
          <w:instrText xml:space="preserve"> PAGEREF _Toc167960428 \h </w:instrText>
        </w:r>
        <w:r w:rsidR="0041052D">
          <w:rPr>
            <w:webHidden/>
          </w:rPr>
        </w:r>
        <w:r w:rsidR="0041052D">
          <w:rPr>
            <w:webHidden/>
          </w:rPr>
          <w:fldChar w:fldCharType="separate"/>
        </w:r>
        <w:r w:rsidR="0008547C">
          <w:rPr>
            <w:webHidden/>
          </w:rPr>
          <w:t>16</w:t>
        </w:r>
        <w:r w:rsidR="0041052D">
          <w:rPr>
            <w:webHidden/>
          </w:rPr>
          <w:fldChar w:fldCharType="end"/>
        </w:r>
      </w:hyperlink>
    </w:p>
    <w:p w14:paraId="6CAAC4CC" w14:textId="5CC53AC3"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9" w:history="1">
        <w:r w:rsidR="0041052D" w:rsidRPr="00342AAC">
          <w:rPr>
            <w:rStyle w:val="Hyperlink"/>
          </w:rPr>
          <w:t>VII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ИЗДАВАЊЕ ДОЗВОЛА И САГЛАСНОСТИ УЧЕСНИЦИМА НА ТРЖИШТУ</w:t>
        </w:r>
        <w:r w:rsidR="0041052D">
          <w:rPr>
            <w:webHidden/>
          </w:rPr>
          <w:tab/>
        </w:r>
        <w:r w:rsidR="0041052D">
          <w:rPr>
            <w:webHidden/>
          </w:rPr>
          <w:fldChar w:fldCharType="begin"/>
        </w:r>
        <w:r w:rsidR="0041052D">
          <w:rPr>
            <w:webHidden/>
          </w:rPr>
          <w:instrText xml:space="preserve"> PAGEREF _Toc167960429 \h </w:instrText>
        </w:r>
        <w:r w:rsidR="0041052D">
          <w:rPr>
            <w:webHidden/>
          </w:rPr>
        </w:r>
        <w:r w:rsidR="0041052D">
          <w:rPr>
            <w:webHidden/>
          </w:rPr>
          <w:fldChar w:fldCharType="separate"/>
        </w:r>
        <w:r w:rsidR="0008547C">
          <w:rPr>
            <w:webHidden/>
          </w:rPr>
          <w:t>16</w:t>
        </w:r>
        <w:r w:rsidR="0041052D">
          <w:rPr>
            <w:webHidden/>
          </w:rPr>
          <w:fldChar w:fldCharType="end"/>
        </w:r>
      </w:hyperlink>
    </w:p>
    <w:p w14:paraId="6E4CAF15" w14:textId="6A3F0E99" w:rsidR="0041052D" w:rsidRDefault="00000000">
      <w:pPr>
        <w:pStyle w:val="TOC2"/>
        <w:rPr>
          <w:rFonts w:asciiTheme="minorHAnsi" w:eastAsiaTheme="minorEastAsia" w:hAnsiTheme="minorHAnsi" w:cstheme="minorBidi"/>
          <w:sz w:val="22"/>
          <w:szCs w:val="22"/>
          <w:lang w:val="bs-Latn-BA" w:eastAsia="bs-Latn-BA"/>
        </w:rPr>
      </w:pPr>
      <w:hyperlink w:anchor="_Toc167960430"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тржишту хартија од вриједности</w:t>
        </w:r>
        <w:r w:rsidR="0041052D">
          <w:rPr>
            <w:webHidden/>
          </w:rPr>
          <w:tab/>
        </w:r>
        <w:r w:rsidR="0041052D">
          <w:rPr>
            <w:webHidden/>
          </w:rPr>
          <w:fldChar w:fldCharType="begin"/>
        </w:r>
        <w:r w:rsidR="0041052D">
          <w:rPr>
            <w:webHidden/>
          </w:rPr>
          <w:instrText xml:space="preserve"> PAGEREF _Toc167960430 \h </w:instrText>
        </w:r>
        <w:r w:rsidR="0041052D">
          <w:rPr>
            <w:webHidden/>
          </w:rPr>
        </w:r>
        <w:r w:rsidR="0041052D">
          <w:rPr>
            <w:webHidden/>
          </w:rPr>
          <w:fldChar w:fldCharType="separate"/>
        </w:r>
        <w:r w:rsidR="0008547C">
          <w:rPr>
            <w:webHidden/>
          </w:rPr>
          <w:t>16</w:t>
        </w:r>
        <w:r w:rsidR="0041052D">
          <w:rPr>
            <w:webHidden/>
          </w:rPr>
          <w:fldChar w:fldCharType="end"/>
        </w:r>
      </w:hyperlink>
    </w:p>
    <w:p w14:paraId="0EE5A4E7" w14:textId="4EB0A88D" w:rsidR="0041052D" w:rsidRDefault="00000000">
      <w:pPr>
        <w:pStyle w:val="TOC2"/>
        <w:rPr>
          <w:rFonts w:asciiTheme="minorHAnsi" w:eastAsiaTheme="minorEastAsia" w:hAnsiTheme="minorHAnsi" w:cstheme="minorBidi"/>
          <w:sz w:val="22"/>
          <w:szCs w:val="22"/>
          <w:lang w:val="bs-Latn-BA" w:eastAsia="bs-Latn-BA"/>
        </w:rPr>
      </w:pPr>
      <w:hyperlink w:anchor="_Toc167960431"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инвестиционим фондовима</w:t>
        </w:r>
        <w:r w:rsidR="0041052D">
          <w:rPr>
            <w:webHidden/>
          </w:rPr>
          <w:tab/>
        </w:r>
        <w:r w:rsidR="0041052D">
          <w:rPr>
            <w:webHidden/>
          </w:rPr>
          <w:fldChar w:fldCharType="begin"/>
        </w:r>
        <w:r w:rsidR="0041052D">
          <w:rPr>
            <w:webHidden/>
          </w:rPr>
          <w:instrText xml:space="preserve"> PAGEREF _Toc167960431 \h </w:instrText>
        </w:r>
        <w:r w:rsidR="0041052D">
          <w:rPr>
            <w:webHidden/>
          </w:rPr>
        </w:r>
        <w:r w:rsidR="0041052D">
          <w:rPr>
            <w:webHidden/>
          </w:rPr>
          <w:fldChar w:fldCharType="separate"/>
        </w:r>
        <w:r w:rsidR="0008547C">
          <w:rPr>
            <w:webHidden/>
          </w:rPr>
          <w:t>20</w:t>
        </w:r>
        <w:r w:rsidR="0041052D">
          <w:rPr>
            <w:webHidden/>
          </w:rPr>
          <w:fldChar w:fldCharType="end"/>
        </w:r>
      </w:hyperlink>
    </w:p>
    <w:p w14:paraId="1AF3F787" w14:textId="35DC7799" w:rsidR="0041052D" w:rsidRDefault="00000000">
      <w:pPr>
        <w:pStyle w:val="TOC2"/>
        <w:rPr>
          <w:rFonts w:asciiTheme="minorHAnsi" w:eastAsiaTheme="minorEastAsia" w:hAnsiTheme="minorHAnsi" w:cstheme="minorBidi"/>
          <w:sz w:val="22"/>
          <w:szCs w:val="22"/>
          <w:lang w:val="bs-Latn-BA" w:eastAsia="bs-Latn-BA"/>
        </w:rPr>
      </w:pPr>
      <w:hyperlink w:anchor="_Toc167960432" w:history="1">
        <w:r w:rsidR="0041052D" w:rsidRPr="00342AAC">
          <w:rPr>
            <w:rStyle w:val="Hyperlink"/>
          </w:rPr>
          <w:t>3.</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факторингу</w:t>
        </w:r>
        <w:r w:rsidR="0041052D">
          <w:rPr>
            <w:webHidden/>
          </w:rPr>
          <w:tab/>
        </w:r>
        <w:r w:rsidR="0041052D">
          <w:rPr>
            <w:webHidden/>
          </w:rPr>
          <w:fldChar w:fldCharType="begin"/>
        </w:r>
        <w:r w:rsidR="0041052D">
          <w:rPr>
            <w:webHidden/>
          </w:rPr>
          <w:instrText xml:space="preserve"> PAGEREF _Toc167960432 \h </w:instrText>
        </w:r>
        <w:r w:rsidR="0041052D">
          <w:rPr>
            <w:webHidden/>
          </w:rPr>
        </w:r>
        <w:r w:rsidR="0041052D">
          <w:rPr>
            <w:webHidden/>
          </w:rPr>
          <w:fldChar w:fldCharType="separate"/>
        </w:r>
        <w:r w:rsidR="0008547C">
          <w:rPr>
            <w:webHidden/>
          </w:rPr>
          <w:t>25</w:t>
        </w:r>
        <w:r w:rsidR="0041052D">
          <w:rPr>
            <w:webHidden/>
          </w:rPr>
          <w:fldChar w:fldCharType="end"/>
        </w:r>
      </w:hyperlink>
    </w:p>
    <w:p w14:paraId="1C6BC612" w14:textId="447F2AD9" w:rsidR="0041052D" w:rsidRDefault="00000000">
      <w:pPr>
        <w:pStyle w:val="TOC2"/>
        <w:rPr>
          <w:rFonts w:asciiTheme="minorHAnsi" w:eastAsiaTheme="minorEastAsia" w:hAnsiTheme="minorHAnsi" w:cstheme="minorBidi"/>
          <w:sz w:val="22"/>
          <w:szCs w:val="22"/>
          <w:lang w:val="bs-Latn-BA" w:eastAsia="bs-Latn-BA"/>
        </w:rPr>
      </w:pPr>
      <w:hyperlink w:anchor="_Toc167960433" w:history="1">
        <w:r w:rsidR="0041052D" w:rsidRPr="00342AAC">
          <w:rPr>
            <w:rStyle w:val="Hyperlink"/>
          </w:rPr>
          <w:t>4.</w:t>
        </w:r>
        <w:r w:rsidR="0041052D">
          <w:rPr>
            <w:rFonts w:asciiTheme="minorHAnsi" w:eastAsiaTheme="minorEastAsia" w:hAnsiTheme="minorHAnsi" w:cstheme="minorBidi"/>
            <w:sz w:val="22"/>
            <w:szCs w:val="22"/>
            <w:lang w:val="bs-Latn-BA" w:eastAsia="bs-Latn-BA"/>
          </w:rPr>
          <w:tab/>
        </w:r>
        <w:r w:rsidR="0041052D" w:rsidRPr="00342AAC">
          <w:rPr>
            <w:rStyle w:val="Hyperlink"/>
          </w:rPr>
          <w:t>Испити за стицање звања</w:t>
        </w:r>
        <w:r w:rsidR="0041052D">
          <w:rPr>
            <w:webHidden/>
          </w:rPr>
          <w:tab/>
        </w:r>
        <w:r w:rsidR="0041052D">
          <w:rPr>
            <w:webHidden/>
          </w:rPr>
          <w:fldChar w:fldCharType="begin"/>
        </w:r>
        <w:r w:rsidR="0041052D">
          <w:rPr>
            <w:webHidden/>
          </w:rPr>
          <w:instrText xml:space="preserve"> PAGEREF _Toc167960433 \h </w:instrText>
        </w:r>
        <w:r w:rsidR="0041052D">
          <w:rPr>
            <w:webHidden/>
          </w:rPr>
        </w:r>
        <w:r w:rsidR="0041052D">
          <w:rPr>
            <w:webHidden/>
          </w:rPr>
          <w:fldChar w:fldCharType="separate"/>
        </w:r>
        <w:r w:rsidR="0008547C">
          <w:rPr>
            <w:webHidden/>
          </w:rPr>
          <w:t>25</w:t>
        </w:r>
        <w:r w:rsidR="0041052D">
          <w:rPr>
            <w:webHidden/>
          </w:rPr>
          <w:fldChar w:fldCharType="end"/>
        </w:r>
      </w:hyperlink>
    </w:p>
    <w:p w14:paraId="6D9A53B6" w14:textId="4DB1BA67" w:rsidR="0041052D" w:rsidRDefault="00000000">
      <w:pPr>
        <w:pStyle w:val="TOC2"/>
        <w:rPr>
          <w:rFonts w:asciiTheme="minorHAnsi" w:eastAsiaTheme="minorEastAsia" w:hAnsiTheme="minorHAnsi" w:cstheme="minorBidi"/>
          <w:sz w:val="22"/>
          <w:szCs w:val="22"/>
          <w:lang w:val="bs-Latn-BA" w:eastAsia="bs-Latn-BA"/>
        </w:rPr>
      </w:pPr>
      <w:hyperlink w:anchor="_Toc167960434" w:history="1">
        <w:r w:rsidR="0041052D" w:rsidRPr="00342AAC">
          <w:rPr>
            <w:rStyle w:val="Hyperlink"/>
          </w:rPr>
          <w:t>5.</w:t>
        </w:r>
        <w:r w:rsidR="0041052D">
          <w:rPr>
            <w:rFonts w:asciiTheme="minorHAnsi" w:eastAsiaTheme="minorEastAsia" w:hAnsiTheme="minorHAnsi" w:cstheme="minorBidi"/>
            <w:sz w:val="22"/>
            <w:szCs w:val="22"/>
            <w:lang w:val="bs-Latn-BA" w:eastAsia="bs-Latn-BA"/>
          </w:rPr>
          <w:tab/>
        </w:r>
        <w:r w:rsidR="0041052D" w:rsidRPr="00342AAC">
          <w:rPr>
            <w:rStyle w:val="Hyperlink"/>
          </w:rPr>
          <w:t>Евиденција пружалаца услуга повезаних са виртуелним валутама</w:t>
        </w:r>
        <w:r w:rsidR="0041052D">
          <w:rPr>
            <w:webHidden/>
          </w:rPr>
          <w:tab/>
        </w:r>
        <w:r w:rsidR="0041052D">
          <w:rPr>
            <w:webHidden/>
          </w:rPr>
          <w:fldChar w:fldCharType="begin"/>
        </w:r>
        <w:r w:rsidR="0041052D">
          <w:rPr>
            <w:webHidden/>
          </w:rPr>
          <w:instrText xml:space="preserve"> PAGEREF _Toc167960434 \h </w:instrText>
        </w:r>
        <w:r w:rsidR="0041052D">
          <w:rPr>
            <w:webHidden/>
          </w:rPr>
        </w:r>
        <w:r w:rsidR="0041052D">
          <w:rPr>
            <w:webHidden/>
          </w:rPr>
          <w:fldChar w:fldCharType="separate"/>
        </w:r>
        <w:r w:rsidR="0008547C">
          <w:rPr>
            <w:webHidden/>
          </w:rPr>
          <w:t>26</w:t>
        </w:r>
        <w:r w:rsidR="0041052D">
          <w:rPr>
            <w:webHidden/>
          </w:rPr>
          <w:fldChar w:fldCharType="end"/>
        </w:r>
      </w:hyperlink>
    </w:p>
    <w:p w14:paraId="548A6FA4" w14:textId="18F54D14"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35" w:history="1">
        <w:r w:rsidR="0041052D" w:rsidRPr="00342AAC">
          <w:rPr>
            <w:rStyle w:val="Hyperlink"/>
          </w:rPr>
          <w:t>VIII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РАЗВОЈ И МЕЂУНАРОДНА САРАДЊА</w:t>
        </w:r>
        <w:r w:rsidR="0041052D">
          <w:rPr>
            <w:webHidden/>
          </w:rPr>
          <w:tab/>
        </w:r>
        <w:r w:rsidR="0041052D">
          <w:rPr>
            <w:webHidden/>
          </w:rPr>
          <w:fldChar w:fldCharType="begin"/>
        </w:r>
        <w:r w:rsidR="0041052D">
          <w:rPr>
            <w:webHidden/>
          </w:rPr>
          <w:instrText xml:space="preserve"> PAGEREF _Toc167960435 \h </w:instrText>
        </w:r>
        <w:r w:rsidR="0041052D">
          <w:rPr>
            <w:webHidden/>
          </w:rPr>
        </w:r>
        <w:r w:rsidR="0041052D">
          <w:rPr>
            <w:webHidden/>
          </w:rPr>
          <w:fldChar w:fldCharType="separate"/>
        </w:r>
        <w:r w:rsidR="0008547C">
          <w:rPr>
            <w:webHidden/>
          </w:rPr>
          <w:t>27</w:t>
        </w:r>
        <w:r w:rsidR="0041052D">
          <w:rPr>
            <w:webHidden/>
          </w:rPr>
          <w:fldChar w:fldCharType="end"/>
        </w:r>
      </w:hyperlink>
    </w:p>
    <w:p w14:paraId="5DE9D09A" w14:textId="656722E2" w:rsidR="0041052D" w:rsidRDefault="00000000">
      <w:pPr>
        <w:pStyle w:val="TOC2"/>
        <w:rPr>
          <w:rFonts w:asciiTheme="minorHAnsi" w:eastAsiaTheme="minorEastAsia" w:hAnsiTheme="minorHAnsi" w:cstheme="minorBidi"/>
          <w:sz w:val="22"/>
          <w:szCs w:val="22"/>
          <w:lang w:val="bs-Latn-BA" w:eastAsia="bs-Latn-BA"/>
        </w:rPr>
      </w:pPr>
      <w:hyperlink w:anchor="_Toc167960436"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Нормативне активности</w:t>
        </w:r>
        <w:r w:rsidR="0041052D">
          <w:rPr>
            <w:webHidden/>
          </w:rPr>
          <w:tab/>
        </w:r>
        <w:r w:rsidR="0041052D">
          <w:rPr>
            <w:webHidden/>
          </w:rPr>
          <w:fldChar w:fldCharType="begin"/>
        </w:r>
        <w:r w:rsidR="0041052D">
          <w:rPr>
            <w:webHidden/>
          </w:rPr>
          <w:instrText xml:space="preserve"> PAGEREF _Toc167960436 \h </w:instrText>
        </w:r>
        <w:r w:rsidR="0041052D">
          <w:rPr>
            <w:webHidden/>
          </w:rPr>
        </w:r>
        <w:r w:rsidR="0041052D">
          <w:rPr>
            <w:webHidden/>
          </w:rPr>
          <w:fldChar w:fldCharType="separate"/>
        </w:r>
        <w:r w:rsidR="0008547C">
          <w:rPr>
            <w:webHidden/>
          </w:rPr>
          <w:t>27</w:t>
        </w:r>
        <w:r w:rsidR="0041052D">
          <w:rPr>
            <w:webHidden/>
          </w:rPr>
          <w:fldChar w:fldCharType="end"/>
        </w:r>
      </w:hyperlink>
    </w:p>
    <w:p w14:paraId="6DF47E9B" w14:textId="16839DFC" w:rsidR="0041052D" w:rsidRDefault="00000000">
      <w:pPr>
        <w:pStyle w:val="TOC2"/>
        <w:rPr>
          <w:rFonts w:asciiTheme="minorHAnsi" w:eastAsiaTheme="minorEastAsia" w:hAnsiTheme="minorHAnsi" w:cstheme="minorBidi"/>
          <w:sz w:val="22"/>
          <w:szCs w:val="22"/>
          <w:lang w:val="bs-Latn-BA" w:eastAsia="bs-Latn-BA"/>
        </w:rPr>
      </w:pPr>
      <w:hyperlink w:anchor="_Toc167960437"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Сарадња</w:t>
        </w:r>
        <w:r w:rsidR="0041052D">
          <w:rPr>
            <w:webHidden/>
          </w:rPr>
          <w:tab/>
        </w:r>
        <w:r w:rsidR="0041052D">
          <w:rPr>
            <w:webHidden/>
          </w:rPr>
          <w:fldChar w:fldCharType="begin"/>
        </w:r>
        <w:r w:rsidR="0041052D">
          <w:rPr>
            <w:webHidden/>
          </w:rPr>
          <w:instrText xml:space="preserve"> PAGEREF _Toc167960437 \h </w:instrText>
        </w:r>
        <w:r w:rsidR="0041052D">
          <w:rPr>
            <w:webHidden/>
          </w:rPr>
        </w:r>
        <w:r w:rsidR="0041052D">
          <w:rPr>
            <w:webHidden/>
          </w:rPr>
          <w:fldChar w:fldCharType="separate"/>
        </w:r>
        <w:r w:rsidR="0008547C">
          <w:rPr>
            <w:webHidden/>
          </w:rPr>
          <w:t>28</w:t>
        </w:r>
        <w:r w:rsidR="0041052D">
          <w:rPr>
            <w:webHidden/>
          </w:rPr>
          <w:fldChar w:fldCharType="end"/>
        </w:r>
      </w:hyperlink>
    </w:p>
    <w:p w14:paraId="57A9F845" w14:textId="26D317EE" w:rsidR="0041052D" w:rsidRDefault="00000000">
      <w:pPr>
        <w:pStyle w:val="TOC3"/>
        <w:rPr>
          <w:rFonts w:asciiTheme="minorHAnsi" w:eastAsiaTheme="minorEastAsia" w:hAnsiTheme="minorHAnsi" w:cstheme="minorBidi"/>
          <w:iCs w:val="0"/>
          <w:sz w:val="22"/>
          <w:szCs w:val="22"/>
          <w:lang w:val="bs-Latn-BA" w:eastAsia="bs-Latn-BA"/>
        </w:rPr>
      </w:pPr>
      <w:hyperlink w:anchor="_Toc167960438" w:history="1">
        <w:r w:rsidR="0041052D" w:rsidRPr="00342AAC">
          <w:rPr>
            <w:rStyle w:val="Hyperlink"/>
          </w:rPr>
          <w:t>2.1.</w:t>
        </w:r>
        <w:r w:rsidR="0041052D">
          <w:rPr>
            <w:rFonts w:asciiTheme="minorHAnsi" w:eastAsiaTheme="minorEastAsia" w:hAnsiTheme="minorHAnsi" w:cstheme="minorBidi"/>
            <w:iCs w:val="0"/>
            <w:sz w:val="22"/>
            <w:szCs w:val="22"/>
            <w:lang w:val="bs-Latn-BA" w:eastAsia="bs-Latn-BA"/>
          </w:rPr>
          <w:tab/>
        </w:r>
        <w:r w:rsidR="0041052D" w:rsidRPr="00342AAC">
          <w:rPr>
            <w:rStyle w:val="Hyperlink"/>
          </w:rPr>
          <w:t>Међународна сарадња</w:t>
        </w:r>
        <w:r w:rsidR="0041052D">
          <w:rPr>
            <w:webHidden/>
          </w:rPr>
          <w:tab/>
        </w:r>
        <w:r w:rsidR="0041052D">
          <w:rPr>
            <w:webHidden/>
          </w:rPr>
          <w:fldChar w:fldCharType="begin"/>
        </w:r>
        <w:r w:rsidR="0041052D">
          <w:rPr>
            <w:webHidden/>
          </w:rPr>
          <w:instrText xml:space="preserve"> PAGEREF _Toc167960438 \h </w:instrText>
        </w:r>
        <w:r w:rsidR="0041052D">
          <w:rPr>
            <w:webHidden/>
          </w:rPr>
        </w:r>
        <w:r w:rsidR="0041052D">
          <w:rPr>
            <w:webHidden/>
          </w:rPr>
          <w:fldChar w:fldCharType="separate"/>
        </w:r>
        <w:r w:rsidR="0008547C">
          <w:rPr>
            <w:webHidden/>
          </w:rPr>
          <w:t>28</w:t>
        </w:r>
        <w:r w:rsidR="0041052D">
          <w:rPr>
            <w:webHidden/>
          </w:rPr>
          <w:fldChar w:fldCharType="end"/>
        </w:r>
      </w:hyperlink>
    </w:p>
    <w:p w14:paraId="2EA64190" w14:textId="56B949B2" w:rsidR="0041052D" w:rsidRDefault="00000000">
      <w:pPr>
        <w:pStyle w:val="TOC3"/>
        <w:rPr>
          <w:rFonts w:asciiTheme="minorHAnsi" w:eastAsiaTheme="minorEastAsia" w:hAnsiTheme="minorHAnsi" w:cstheme="minorBidi"/>
          <w:iCs w:val="0"/>
          <w:sz w:val="22"/>
          <w:szCs w:val="22"/>
          <w:lang w:val="bs-Latn-BA" w:eastAsia="bs-Latn-BA"/>
        </w:rPr>
      </w:pPr>
      <w:hyperlink w:anchor="_Toc167960439" w:history="1">
        <w:r w:rsidR="0041052D" w:rsidRPr="00342AAC">
          <w:rPr>
            <w:rStyle w:val="Hyperlink"/>
          </w:rPr>
          <w:t>2.2.</w:t>
        </w:r>
        <w:r w:rsidR="0041052D">
          <w:rPr>
            <w:rFonts w:asciiTheme="minorHAnsi" w:eastAsiaTheme="minorEastAsia" w:hAnsiTheme="minorHAnsi" w:cstheme="minorBidi"/>
            <w:iCs w:val="0"/>
            <w:sz w:val="22"/>
            <w:szCs w:val="22"/>
            <w:lang w:val="bs-Latn-BA" w:eastAsia="bs-Latn-BA"/>
          </w:rPr>
          <w:tab/>
        </w:r>
        <w:r w:rsidR="0041052D" w:rsidRPr="00342AAC">
          <w:rPr>
            <w:rStyle w:val="Hyperlink"/>
          </w:rPr>
          <w:t>Промоција и едукација</w:t>
        </w:r>
        <w:r w:rsidR="0041052D">
          <w:rPr>
            <w:webHidden/>
          </w:rPr>
          <w:tab/>
        </w:r>
        <w:r w:rsidR="0041052D">
          <w:rPr>
            <w:webHidden/>
          </w:rPr>
          <w:fldChar w:fldCharType="begin"/>
        </w:r>
        <w:r w:rsidR="0041052D">
          <w:rPr>
            <w:webHidden/>
          </w:rPr>
          <w:instrText xml:space="preserve"> PAGEREF _Toc167960439 \h </w:instrText>
        </w:r>
        <w:r w:rsidR="0041052D">
          <w:rPr>
            <w:webHidden/>
          </w:rPr>
        </w:r>
        <w:r w:rsidR="0041052D">
          <w:rPr>
            <w:webHidden/>
          </w:rPr>
          <w:fldChar w:fldCharType="separate"/>
        </w:r>
        <w:r w:rsidR="0008547C">
          <w:rPr>
            <w:webHidden/>
          </w:rPr>
          <w:t>31</w:t>
        </w:r>
        <w:r w:rsidR="0041052D">
          <w:rPr>
            <w:webHidden/>
          </w:rPr>
          <w:fldChar w:fldCharType="end"/>
        </w:r>
      </w:hyperlink>
    </w:p>
    <w:p w14:paraId="3B2E0AA1" w14:textId="2DD4DEFC"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40" w:history="1">
        <w:r w:rsidR="0041052D" w:rsidRPr="00342AAC">
          <w:rPr>
            <w:rStyle w:val="Hyperlink"/>
          </w:rPr>
          <w:t>IX</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НАДЗОР НАД УЧЕСНИЦИМА НА ТРЖИШТУ ХАРТИЈА ОД ВРИЈЕДНОСТИ</w:t>
        </w:r>
        <w:r w:rsidR="0041052D">
          <w:rPr>
            <w:webHidden/>
          </w:rPr>
          <w:tab/>
        </w:r>
        <w:r w:rsidR="0041052D">
          <w:rPr>
            <w:webHidden/>
          </w:rPr>
          <w:fldChar w:fldCharType="begin"/>
        </w:r>
        <w:r w:rsidR="0041052D">
          <w:rPr>
            <w:webHidden/>
          </w:rPr>
          <w:instrText xml:space="preserve"> PAGEREF _Toc167960440 \h </w:instrText>
        </w:r>
        <w:r w:rsidR="0041052D">
          <w:rPr>
            <w:webHidden/>
          </w:rPr>
        </w:r>
        <w:r w:rsidR="0041052D">
          <w:rPr>
            <w:webHidden/>
          </w:rPr>
          <w:fldChar w:fldCharType="separate"/>
        </w:r>
        <w:r w:rsidR="0008547C">
          <w:rPr>
            <w:webHidden/>
          </w:rPr>
          <w:t>31</w:t>
        </w:r>
        <w:r w:rsidR="0041052D">
          <w:rPr>
            <w:webHidden/>
          </w:rPr>
          <w:fldChar w:fldCharType="end"/>
        </w:r>
      </w:hyperlink>
    </w:p>
    <w:p w14:paraId="705A89BE" w14:textId="254477B2"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41" w:history="1">
        <w:r w:rsidR="0041052D" w:rsidRPr="00342AAC">
          <w:rPr>
            <w:rStyle w:val="Hyperlink"/>
          </w:rPr>
          <w:t>X</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ЕДУКАЦИЈА</w:t>
        </w:r>
        <w:r w:rsidR="0041052D">
          <w:rPr>
            <w:webHidden/>
          </w:rPr>
          <w:tab/>
        </w:r>
        <w:r w:rsidR="0041052D">
          <w:rPr>
            <w:webHidden/>
          </w:rPr>
          <w:fldChar w:fldCharType="begin"/>
        </w:r>
        <w:r w:rsidR="0041052D">
          <w:rPr>
            <w:webHidden/>
          </w:rPr>
          <w:instrText xml:space="preserve"> PAGEREF _Toc167960441 \h </w:instrText>
        </w:r>
        <w:r w:rsidR="0041052D">
          <w:rPr>
            <w:webHidden/>
          </w:rPr>
        </w:r>
        <w:r w:rsidR="0041052D">
          <w:rPr>
            <w:webHidden/>
          </w:rPr>
          <w:fldChar w:fldCharType="separate"/>
        </w:r>
        <w:r w:rsidR="0008547C">
          <w:rPr>
            <w:webHidden/>
          </w:rPr>
          <w:t>36</w:t>
        </w:r>
        <w:r w:rsidR="0041052D">
          <w:rPr>
            <w:webHidden/>
          </w:rPr>
          <w:fldChar w:fldCharType="end"/>
        </w:r>
      </w:hyperlink>
    </w:p>
    <w:p w14:paraId="37FC3D46" w14:textId="5C633442" w:rsidR="0041052D" w:rsidRDefault="00D3478F" w:rsidP="0041052D">
      <w:pPr>
        <w:spacing w:after="0" w:line="240" w:lineRule="auto"/>
        <w:ind w:firstLine="567"/>
        <w:rPr>
          <w:b/>
          <w:bCs/>
          <w:caps/>
          <w:color w:val="FF0000"/>
          <w:sz w:val="22"/>
          <w:szCs w:val="22"/>
          <w:lang w:val="sr-Latn-BA"/>
        </w:rPr>
      </w:pPr>
      <w:r w:rsidRPr="00EC6422">
        <w:rPr>
          <w:b/>
          <w:bCs/>
          <w:caps/>
          <w:color w:val="FF0000"/>
          <w:sz w:val="22"/>
          <w:szCs w:val="22"/>
          <w:lang w:val="sr-Cyrl-BA"/>
        </w:rPr>
        <w:fldChar w:fldCharType="end"/>
      </w:r>
      <w:bookmarkStart w:id="0" w:name="_Toc194970087"/>
      <w:bookmarkStart w:id="1" w:name="_Toc194970118"/>
      <w:bookmarkStart w:id="2" w:name="_Toc321408884"/>
    </w:p>
    <w:p w14:paraId="0F7AD1C4" w14:textId="77777777" w:rsidR="0041052D" w:rsidRPr="0041052D" w:rsidRDefault="0041052D" w:rsidP="0041052D">
      <w:pPr>
        <w:spacing w:after="0" w:line="240" w:lineRule="auto"/>
        <w:ind w:firstLine="567"/>
        <w:rPr>
          <w:b/>
          <w:bCs/>
          <w:caps/>
          <w:color w:val="002060"/>
          <w:sz w:val="28"/>
          <w:szCs w:val="32"/>
          <w:lang w:val="sr-Cyrl-BA"/>
        </w:rPr>
      </w:pPr>
    </w:p>
    <w:p w14:paraId="5D5E8D08" w14:textId="54CF83B3"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3" w:name="_Toc167960418"/>
      <w:r w:rsidRPr="00EC6422">
        <w:rPr>
          <w:rFonts w:ascii="Times New Roman" w:hAnsi="Times New Roman"/>
          <w:caps w:val="0"/>
          <w:color w:val="002060"/>
          <w:lang w:val="sr-Cyrl-BA"/>
        </w:rPr>
        <w:lastRenderedPageBreak/>
        <w:t>ОСНОВНИ ПОДАЦИ О КОМИСИЈИ</w:t>
      </w:r>
      <w:bookmarkEnd w:id="0"/>
      <w:bookmarkEnd w:id="1"/>
      <w:bookmarkEnd w:id="2"/>
      <w:bookmarkEnd w:id="3"/>
    </w:p>
    <w:p w14:paraId="0F554899"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4" w:name="_Toc194970088"/>
      <w:bookmarkStart w:id="5" w:name="_Toc194970119"/>
      <w:bookmarkStart w:id="6" w:name="_Toc321408885"/>
      <w:bookmarkStart w:id="7" w:name="_Toc167960419"/>
      <w:r w:rsidRPr="00EC6422">
        <w:rPr>
          <w:rFonts w:ascii="Times New Roman" w:hAnsi="Times New Roman"/>
          <w:sz w:val="24"/>
          <w:lang w:val="sr-Cyrl-BA"/>
        </w:rPr>
        <w:t>Оснивање, правни статус и надлежности Комисије</w:t>
      </w:r>
      <w:bookmarkEnd w:id="4"/>
      <w:bookmarkEnd w:id="5"/>
      <w:bookmarkEnd w:id="6"/>
      <w:bookmarkEnd w:id="7"/>
    </w:p>
    <w:p w14:paraId="55CEBD25" w14:textId="77777777" w:rsidR="009628CE" w:rsidRPr="00EC6422" w:rsidRDefault="009628CE" w:rsidP="006B6E0C">
      <w:pPr>
        <w:spacing w:after="0" w:line="240" w:lineRule="auto"/>
        <w:ind w:firstLine="567"/>
        <w:rPr>
          <w:lang w:val="sr-Cyrl-BA"/>
        </w:rPr>
      </w:pPr>
      <w:r w:rsidRPr="00EC6422">
        <w:rPr>
          <w:lang w:val="sr-Cyrl-BA"/>
        </w:rPr>
        <w:t>Правни статус Комисије за хартије од вриједности Републике Српске, њене надлежности и начин рада уређени су Законом о т</w:t>
      </w:r>
      <w:r w:rsidR="00C35AB4">
        <w:rPr>
          <w:lang w:val="sr-Cyrl-BA"/>
        </w:rPr>
        <w:t>ржишту хартија од вриједности</w:t>
      </w:r>
      <w:r w:rsidR="00C35AB4">
        <w:rPr>
          <w:rStyle w:val="FootnoteReference"/>
          <w:lang w:val="sr-Cyrl-BA"/>
        </w:rPr>
        <w:footnoteReference w:id="1"/>
      </w:r>
      <w:r w:rsidR="00C35AB4" w:rsidRPr="00C35AB4">
        <w:rPr>
          <w:lang w:val="sr-Cyrl-BA"/>
        </w:rPr>
        <w:t>.</w:t>
      </w:r>
      <w:r w:rsidRPr="00EC6422">
        <w:rPr>
          <w:lang w:val="sr-Cyrl-BA"/>
        </w:rPr>
        <w:t xml:space="preserve"> Комисија за хартије од вриједности је стално и независно правно лице основано ради уређивања и контроле емитовања и промета хартија од вриједности у Републици Српској.</w:t>
      </w:r>
    </w:p>
    <w:p w14:paraId="773B0AAE" w14:textId="77777777" w:rsidR="009628CE" w:rsidRPr="00EC6422" w:rsidRDefault="009628CE" w:rsidP="006B6E0C">
      <w:pPr>
        <w:spacing w:after="0" w:line="240" w:lineRule="auto"/>
        <w:ind w:firstLine="567"/>
        <w:rPr>
          <w:lang w:val="sr-Cyrl-BA"/>
        </w:rPr>
      </w:pPr>
      <w:r w:rsidRPr="00EC6422">
        <w:rPr>
          <w:lang w:val="sr-Cyrl-BA"/>
        </w:rPr>
        <w:t xml:space="preserve">Сједиште Комисије је у </w:t>
      </w:r>
      <w:proofErr w:type="spellStart"/>
      <w:r w:rsidRPr="00EC6422">
        <w:rPr>
          <w:lang w:val="sr-Cyrl-BA"/>
        </w:rPr>
        <w:t>Бањој</w:t>
      </w:r>
      <w:proofErr w:type="spellEnd"/>
      <w:r w:rsidRPr="00EC6422">
        <w:rPr>
          <w:lang w:val="sr-Cyrl-BA"/>
        </w:rPr>
        <w:t xml:space="preserve"> Луци, у Улици Вука Караџића број 6. У складу са Законом о тржишту хартија од вриједности, Комисија је надлежна да:</w:t>
      </w:r>
    </w:p>
    <w:p w14:paraId="68AFBA4D"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а)</w:t>
      </w:r>
      <w:r w:rsidRPr="0066171A">
        <w:rPr>
          <w:lang w:val="sr-Cyrl-BA"/>
        </w:rPr>
        <w:tab/>
        <w:t>доноси опште акте у спровођењу овог и других закона, када је за то овлашћена законом,</w:t>
      </w:r>
    </w:p>
    <w:p w14:paraId="388B00D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б)</w:t>
      </w:r>
      <w:r w:rsidRPr="0066171A">
        <w:rPr>
          <w:lang w:val="sr-Cyrl-BA"/>
        </w:rPr>
        <w:tab/>
        <w:t xml:space="preserve">прати и проучава стање и кретање на тржишту хартија од вриједности и о томе обавјештава Владу Републике Српске и Народну скупштину Републике Српске, </w:t>
      </w:r>
    </w:p>
    <w:p w14:paraId="47AB8B39"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в)</w:t>
      </w:r>
      <w:r w:rsidRPr="0066171A">
        <w:rPr>
          <w:lang w:val="sr-Cyrl-BA"/>
        </w:rPr>
        <w:tab/>
        <w:t>даје и одузима дозволе, одобрења и сагласности када је за то овлашћена овим и другим законима,</w:t>
      </w:r>
    </w:p>
    <w:p w14:paraId="1B08EB1E"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г)</w:t>
      </w:r>
      <w:r w:rsidRPr="0066171A">
        <w:rPr>
          <w:lang w:val="sr-Cyrl-BA"/>
        </w:rPr>
        <w:tab/>
        <w:t xml:space="preserve">контролише </w:t>
      </w:r>
      <w:proofErr w:type="spellStart"/>
      <w:r w:rsidRPr="0066171A">
        <w:rPr>
          <w:lang w:val="sr-Cyrl-BA"/>
        </w:rPr>
        <w:t>поштивање</w:t>
      </w:r>
      <w:proofErr w:type="spellEnd"/>
      <w:r w:rsidRPr="0066171A">
        <w:rPr>
          <w:lang w:val="sr-Cyrl-BA"/>
        </w:rPr>
        <w:t xml:space="preserve"> правила уобичајене трговине и лојалне конкуренције у трговини хартијама од вриједности,</w:t>
      </w:r>
    </w:p>
    <w:p w14:paraId="40309678"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д)</w:t>
      </w:r>
      <w:r w:rsidRPr="0066171A">
        <w:rPr>
          <w:lang w:val="sr-Cyrl-BA"/>
        </w:rPr>
        <w:tab/>
        <w:t xml:space="preserve">врши надзор над лицима којима даје дозволу за обављање послова и </w:t>
      </w:r>
      <w:proofErr w:type="spellStart"/>
      <w:r w:rsidRPr="0066171A">
        <w:rPr>
          <w:lang w:val="sr-Cyrl-BA"/>
        </w:rPr>
        <w:t>емитентима</w:t>
      </w:r>
      <w:proofErr w:type="spellEnd"/>
      <w:r w:rsidRPr="0066171A">
        <w:rPr>
          <w:lang w:val="sr-Cyrl-BA"/>
        </w:rPr>
        <w:t xml:space="preserve"> хартија од вриједности у поступку емисије, те налаже мјере за отклањање утврђених незаконитости и неправилности,</w:t>
      </w:r>
    </w:p>
    <w:p w14:paraId="230958C1" w14:textId="1A20E296" w:rsidR="0066171A" w:rsidRPr="0066171A" w:rsidRDefault="0066171A" w:rsidP="0066171A">
      <w:pPr>
        <w:tabs>
          <w:tab w:val="left" w:pos="851"/>
        </w:tabs>
        <w:spacing w:before="0" w:after="0" w:line="240" w:lineRule="auto"/>
        <w:ind w:left="851" w:hanging="283"/>
        <w:rPr>
          <w:rFonts w:eastAsia="Calibri"/>
          <w:bCs/>
          <w:lang w:val="sr-Cyrl-BA"/>
        </w:rPr>
      </w:pPr>
      <w:r w:rsidRPr="0066171A">
        <w:rPr>
          <w:lang w:val="sr-Cyrl-BA"/>
        </w:rPr>
        <w:t>ђ)</w:t>
      </w:r>
      <w:r w:rsidRPr="0066171A">
        <w:rPr>
          <w:lang w:val="sr-Cyrl-BA"/>
        </w:rPr>
        <w:tab/>
      </w:r>
      <w:r w:rsidRPr="0066171A">
        <w:rPr>
          <w:rFonts w:eastAsia="Calibri"/>
          <w:bCs/>
          <w:lang w:val="sr-Cyrl-BA"/>
        </w:rPr>
        <w:t xml:space="preserve">врши надзор и предузима потребне мјере у вези са </w:t>
      </w:r>
      <w:proofErr w:type="spellStart"/>
      <w:r w:rsidRPr="0066171A">
        <w:rPr>
          <w:rFonts w:eastAsia="Calibri"/>
          <w:bCs/>
          <w:lang w:val="sr-Cyrl-BA"/>
        </w:rPr>
        <w:t>спречавањем</w:t>
      </w:r>
      <w:proofErr w:type="spellEnd"/>
      <w:r w:rsidRPr="0066171A">
        <w:rPr>
          <w:rFonts w:eastAsia="Calibri"/>
          <w:bCs/>
          <w:lang w:val="sr-Cyrl-BA"/>
        </w:rPr>
        <w:t xml:space="preserve"> прања новца и </w:t>
      </w:r>
      <w:r w:rsidRPr="0066171A">
        <w:rPr>
          <w:lang w:val="sr-Cyrl-BA"/>
        </w:rPr>
        <w:t>финансирања</w:t>
      </w:r>
      <w:r w:rsidRPr="0066171A">
        <w:rPr>
          <w:rFonts w:eastAsia="Calibri"/>
          <w:bCs/>
          <w:lang w:val="sr-Cyrl-BA"/>
        </w:rPr>
        <w:t xml:space="preserve"> терористичких активности над лицима којима даје дозволу за обављање послова,</w:t>
      </w:r>
    </w:p>
    <w:p w14:paraId="389EB1D1"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е)</w:t>
      </w:r>
      <w:r w:rsidRPr="0066171A">
        <w:rPr>
          <w:lang w:val="sr-Cyrl-BA"/>
        </w:rPr>
        <w:tab/>
        <w:t xml:space="preserve">прописује, организује, предузима и надгледа мјере којима осигурава ефикасно функционисање тржишта хартија од вриједности и заштиту интереса инвеститора, </w:t>
      </w:r>
    </w:p>
    <w:p w14:paraId="3B18604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ж) утврђује правила трговања хартијама од вриједности,</w:t>
      </w:r>
    </w:p>
    <w:p w14:paraId="3131D32A"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 xml:space="preserve">з) обуставља емисију и трговање појединим хартијама од вриједности и предузима друге мјере у случају када процијени да су тим активностима угрожени интереси инвеститора и јавности или оне нису у складу са законом и другим прописима, </w:t>
      </w:r>
    </w:p>
    <w:p w14:paraId="5F7ED08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и)</w:t>
      </w:r>
      <w:r w:rsidRPr="0066171A">
        <w:rPr>
          <w:lang w:val="sr-Cyrl-BA"/>
        </w:rPr>
        <w:tab/>
        <w:t>прописује опште и посебне услове пословања које морају испуњавати правна лица којима Комисија даје дозволу за обављање послова или дјелатности,</w:t>
      </w:r>
    </w:p>
    <w:p w14:paraId="1F124520"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ј)</w:t>
      </w:r>
      <w:r w:rsidRPr="0066171A">
        <w:rPr>
          <w:lang w:val="sr-Cyrl-BA"/>
        </w:rPr>
        <w:tab/>
        <w:t xml:space="preserve">прописује обавезан садржај информација које морају бити објављене од стране </w:t>
      </w:r>
      <w:proofErr w:type="spellStart"/>
      <w:r w:rsidRPr="0066171A">
        <w:rPr>
          <w:lang w:val="sr-Cyrl-BA"/>
        </w:rPr>
        <w:t>емитената</w:t>
      </w:r>
      <w:proofErr w:type="spellEnd"/>
      <w:r w:rsidRPr="0066171A">
        <w:rPr>
          <w:lang w:val="sr-Cyrl-BA"/>
        </w:rPr>
        <w:t xml:space="preserve"> хартија од вриједности јавном понудом,</w:t>
      </w:r>
    </w:p>
    <w:p w14:paraId="1AF2A90E"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к)</w:t>
      </w:r>
      <w:r w:rsidRPr="0066171A">
        <w:rPr>
          <w:lang w:val="sr-Cyrl-BA"/>
        </w:rPr>
        <w:tab/>
        <w:t>прописује обавезни садржај информација које се достављају Комисији или јавно објављују учесници који учествују у трговању хартијама од вриједности,</w:t>
      </w:r>
    </w:p>
    <w:p w14:paraId="6A4C3C0D"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л)</w:t>
      </w:r>
      <w:r w:rsidRPr="0066171A">
        <w:rPr>
          <w:lang w:val="sr-Cyrl-BA"/>
        </w:rPr>
        <w:tab/>
        <w:t>подноси надлежном органу пријаву против правних и физичких лица, за које у поступку надзора утврди постојање основа сумње о почињеном кривичном дјелу или прекршају,</w:t>
      </w:r>
    </w:p>
    <w:p w14:paraId="09A8A0E2"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љ)</w:t>
      </w:r>
      <w:r w:rsidRPr="0066171A">
        <w:rPr>
          <w:lang w:val="sr-Cyrl-BA"/>
        </w:rPr>
        <w:tab/>
        <w:t xml:space="preserve">спроводи претходне радње у случају </w:t>
      </w:r>
      <w:proofErr w:type="spellStart"/>
      <w:r w:rsidRPr="0066171A">
        <w:rPr>
          <w:lang w:val="sr-Cyrl-BA"/>
        </w:rPr>
        <w:t>повреде</w:t>
      </w:r>
      <w:proofErr w:type="spellEnd"/>
      <w:r w:rsidRPr="0066171A">
        <w:rPr>
          <w:lang w:val="sr-Cyrl-BA"/>
        </w:rPr>
        <w:t xml:space="preserve"> законских одредаба и других прописа, </w:t>
      </w:r>
    </w:p>
    <w:p w14:paraId="2530AFA2"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м)</w:t>
      </w:r>
      <w:r w:rsidRPr="0066171A">
        <w:rPr>
          <w:lang w:val="sr-Cyrl-BA"/>
        </w:rPr>
        <w:tab/>
        <w:t xml:space="preserve">даје информације и шири знања о дјеловању тржишта хартија од вриједности, </w:t>
      </w:r>
    </w:p>
    <w:p w14:paraId="57CE8FCC"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н)</w:t>
      </w:r>
      <w:r w:rsidRPr="0066171A">
        <w:rPr>
          <w:lang w:val="sr-Cyrl-BA"/>
        </w:rPr>
        <w:tab/>
        <w:t xml:space="preserve">сарађује са сродним организацијама у иностранству, </w:t>
      </w:r>
    </w:p>
    <w:p w14:paraId="2A6F7CEC"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њ)</w:t>
      </w:r>
      <w:r w:rsidRPr="0066171A">
        <w:rPr>
          <w:lang w:val="sr-Cyrl-BA"/>
        </w:rPr>
        <w:tab/>
        <w:t xml:space="preserve">води књиге и регистре у складу са одредбама овог и других закона, </w:t>
      </w:r>
    </w:p>
    <w:p w14:paraId="12182E39"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о) прописује висину накнада за обављање послова из своје надлежности,</w:t>
      </w:r>
    </w:p>
    <w:p w14:paraId="44B1F4EF"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lastRenderedPageBreak/>
        <w:t>п)</w:t>
      </w:r>
      <w:r w:rsidRPr="0066171A">
        <w:rPr>
          <w:lang w:val="sr-Cyrl-BA"/>
        </w:rPr>
        <w:tab/>
        <w:t xml:space="preserve">покреће иницијативу за доношење закона и других прописа из подручја емитовања хартија од вриједности и трговања хартијама од вриједности, даје приједлоге за измјене закона и других прописа из овог подручја, учествује у </w:t>
      </w:r>
      <w:proofErr w:type="spellStart"/>
      <w:r w:rsidRPr="0066171A">
        <w:rPr>
          <w:lang w:val="sr-Cyrl-BA"/>
        </w:rPr>
        <w:t>припремању</w:t>
      </w:r>
      <w:proofErr w:type="spellEnd"/>
      <w:r w:rsidRPr="0066171A">
        <w:rPr>
          <w:lang w:val="sr-Cyrl-BA"/>
        </w:rPr>
        <w:t xml:space="preserve"> других закона и прописа који су од интереса за учеснике тржишта хартија од вриједности, информише јавност о начелима на којима дјелује тржиште хартија од вриједности,</w:t>
      </w:r>
    </w:p>
    <w:p w14:paraId="7A0E3F73"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р)</w:t>
      </w:r>
      <w:r w:rsidRPr="0066171A">
        <w:rPr>
          <w:lang w:val="sr-Cyrl-BA"/>
        </w:rPr>
        <w:tab/>
        <w:t>даје мишљења у вези са провођењем прописа који садрже овлашћења Комисије, а на захтјев странака у поступку или лица које докажу свој правни интерес и</w:t>
      </w:r>
    </w:p>
    <w:p w14:paraId="29EDA00B" w14:textId="4EA48F79" w:rsidR="009628CE" w:rsidRPr="0066171A" w:rsidRDefault="0066171A" w:rsidP="0066171A">
      <w:pPr>
        <w:tabs>
          <w:tab w:val="left" w:pos="851"/>
        </w:tabs>
        <w:spacing w:before="0" w:after="0" w:line="240" w:lineRule="auto"/>
        <w:ind w:left="851" w:hanging="283"/>
        <w:rPr>
          <w:lang w:val="sr-Cyrl-BA"/>
        </w:rPr>
      </w:pPr>
      <w:r w:rsidRPr="0066171A">
        <w:rPr>
          <w:lang w:val="sr-Cyrl-BA"/>
        </w:rPr>
        <w:t>с)</w:t>
      </w:r>
      <w:r w:rsidRPr="0066171A">
        <w:rPr>
          <w:lang w:val="sr-Cyrl-BA"/>
        </w:rPr>
        <w:tab/>
        <w:t>предузима остале мјере и обавља друге послове у складу са законским овлашћењима.</w:t>
      </w:r>
    </w:p>
    <w:p w14:paraId="507E55DF" w14:textId="12A57765" w:rsidR="00E00890" w:rsidRDefault="00E00890" w:rsidP="006B6E0C">
      <w:pPr>
        <w:spacing w:after="0" w:line="240" w:lineRule="auto"/>
        <w:ind w:firstLine="567"/>
        <w:rPr>
          <w:lang w:val="sr-Cyrl-BA"/>
        </w:rPr>
      </w:pPr>
      <w:bookmarkStart w:id="8" w:name="_Hlk135642478"/>
      <w:r w:rsidRPr="00E00890">
        <w:rPr>
          <w:lang w:val="sr-Cyrl-BA"/>
        </w:rPr>
        <w:t xml:space="preserve">Поред </w:t>
      </w:r>
      <w:r>
        <w:rPr>
          <w:lang w:val="sr-Cyrl-BA"/>
        </w:rPr>
        <w:t>наведеног</w:t>
      </w:r>
      <w:r w:rsidRPr="00E00890">
        <w:rPr>
          <w:lang w:val="sr-Cyrl-BA"/>
        </w:rPr>
        <w:t xml:space="preserve">, Комисија је надлежна и да врши надзор усклађености пословања са законом и другим прописима којима се уређује </w:t>
      </w:r>
      <w:proofErr w:type="spellStart"/>
      <w:r w:rsidRPr="00E00890">
        <w:rPr>
          <w:lang w:val="sr-Cyrl-BA"/>
        </w:rPr>
        <w:t>спречавање</w:t>
      </w:r>
      <w:proofErr w:type="spellEnd"/>
      <w:r w:rsidRPr="00E00890">
        <w:rPr>
          <w:lang w:val="sr-Cyrl-BA"/>
        </w:rPr>
        <w:t xml:space="preserve"> прања новца и финансирања терористичких активности, те да предузима потребне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Српској.</w:t>
      </w:r>
    </w:p>
    <w:bookmarkEnd w:id="8"/>
    <w:p w14:paraId="1C21829E" w14:textId="1C3C4DB8" w:rsidR="009628CE" w:rsidRPr="00EC6422" w:rsidRDefault="009628CE" w:rsidP="006B6E0C">
      <w:pPr>
        <w:spacing w:after="0" w:line="240" w:lineRule="auto"/>
        <w:ind w:firstLine="567"/>
        <w:rPr>
          <w:lang w:val="sr-Cyrl-BA"/>
        </w:rPr>
      </w:pPr>
      <w:r w:rsidRPr="00EC6422">
        <w:rPr>
          <w:lang w:val="sr-Cyrl-BA"/>
        </w:rPr>
        <w:t>Начин рада, одлучивање и организација Комисије ближе се уређују Статутом и Пословником о раду Комисије.</w:t>
      </w:r>
    </w:p>
    <w:p w14:paraId="4C9C98DA"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9" w:name="_Toc194970089"/>
      <w:bookmarkStart w:id="10" w:name="_Toc194970120"/>
      <w:bookmarkStart w:id="11" w:name="_Toc321408886"/>
      <w:bookmarkStart w:id="12" w:name="_Toc167960420"/>
      <w:r w:rsidRPr="00EC6422">
        <w:rPr>
          <w:rFonts w:ascii="Times New Roman" w:hAnsi="Times New Roman"/>
          <w:sz w:val="24"/>
          <w:lang w:val="sr-Cyrl-BA"/>
        </w:rPr>
        <w:t>Именовање чланова и састав Комисије</w:t>
      </w:r>
      <w:bookmarkEnd w:id="9"/>
      <w:bookmarkEnd w:id="10"/>
      <w:bookmarkEnd w:id="11"/>
      <w:bookmarkEnd w:id="12"/>
    </w:p>
    <w:p w14:paraId="2EA0B88A" w14:textId="77777777" w:rsidR="009628CE" w:rsidRPr="00EC6422" w:rsidRDefault="009628CE" w:rsidP="006B6E0C">
      <w:pPr>
        <w:spacing w:after="0" w:line="240" w:lineRule="auto"/>
        <w:ind w:firstLine="567"/>
        <w:rPr>
          <w:lang w:val="sr-Cyrl-BA"/>
        </w:rPr>
      </w:pPr>
      <w:r w:rsidRPr="00EC6422">
        <w:rPr>
          <w:lang w:val="sr-Cyrl-BA"/>
        </w:rPr>
        <w:t xml:space="preserve">Комисију чине предсједник, замјеник предсједника и три члана, које на приједлог предсједника Републике Српске, а уз њихову претходну писмену сагласност, именује Народна Скупштина Републике Српске. </w:t>
      </w:r>
    </w:p>
    <w:p w14:paraId="66D45BB3" w14:textId="77777777" w:rsidR="009628CE" w:rsidRPr="00EC6422" w:rsidRDefault="009628CE" w:rsidP="006B6E0C">
      <w:pPr>
        <w:spacing w:after="0" w:line="240" w:lineRule="auto"/>
        <w:ind w:firstLine="567"/>
        <w:rPr>
          <w:lang w:val="sr-Cyrl-BA"/>
        </w:rPr>
      </w:pPr>
      <w:r w:rsidRPr="00EC6422">
        <w:rPr>
          <w:lang w:val="sr-Cyrl-BA"/>
        </w:rPr>
        <w:t>Мандат чланова Комисије траје пет година, с тим да исто лице може више пута бити именовано у састав Комисије. За члана Комисије може бити именовано лице које има високу стручну спрему економског или правног смјера, пет година радног стажа у тој спреми у области тржишта капитала, одговарајуће стручно знање и лична својства која га чине достојним за обављање ове функције.</w:t>
      </w:r>
    </w:p>
    <w:p w14:paraId="7BCECC7F" w14:textId="77777777" w:rsidR="009628CE" w:rsidRPr="00EC6422" w:rsidRDefault="009628CE" w:rsidP="006B6E0C">
      <w:pPr>
        <w:spacing w:after="0" w:line="240" w:lineRule="auto"/>
        <w:ind w:firstLine="567"/>
        <w:rPr>
          <w:lang w:val="sr-Cyrl-BA"/>
        </w:rPr>
      </w:pPr>
      <w:r w:rsidRPr="00EC6422">
        <w:rPr>
          <w:lang w:val="sr-Cyrl-BA"/>
        </w:rPr>
        <w:t xml:space="preserve">Имајући у виду </w:t>
      </w:r>
      <w:r w:rsidR="00C77413" w:rsidRPr="00EC6422">
        <w:rPr>
          <w:lang w:val="sr-Cyrl-BA"/>
        </w:rPr>
        <w:t>овлашћења</w:t>
      </w:r>
      <w:r w:rsidRPr="00EC6422">
        <w:rPr>
          <w:lang w:val="sr-Cyrl-BA"/>
        </w:rPr>
        <w:t xml:space="preserve"> и одговорности Комисије, као и потребу очувања интегритета свих лица запослених у Комисији, Законом о тржишту хартија од вриједности је регулисано да предсједник, замјеник предсједника и чланови Комисије не могу: </w:t>
      </w:r>
    </w:p>
    <w:p w14:paraId="4788289C"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а)</w:t>
      </w:r>
      <w:r w:rsidRPr="00EC6422">
        <w:rPr>
          <w:lang w:val="sr-Cyrl-BA"/>
        </w:rPr>
        <w:tab/>
        <w:t>бити у међусобном сродству или браку,</w:t>
      </w:r>
    </w:p>
    <w:p w14:paraId="4D8AC7E8"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б)</w:t>
      </w:r>
      <w:r w:rsidRPr="00EC6422">
        <w:rPr>
          <w:lang w:val="sr-Cyrl-BA"/>
        </w:rPr>
        <w:tab/>
        <w:t>бити лица која су кажњавана за дјела која су неспојива са радом у Комисији,</w:t>
      </w:r>
    </w:p>
    <w:p w14:paraId="6023E3F3"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в)</w:t>
      </w:r>
      <w:r w:rsidRPr="00EC6422">
        <w:rPr>
          <w:lang w:val="sr-Cyrl-BA"/>
        </w:rPr>
        <w:tab/>
        <w:t>обављати дужност у политичкој странци и учествовати у политичким активностима које су неспојиве са радом у Комисији,</w:t>
      </w:r>
    </w:p>
    <w:p w14:paraId="5BECC4DB"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г)</w:t>
      </w:r>
      <w:r w:rsidRPr="00EC6422">
        <w:rPr>
          <w:lang w:val="sr-Cyrl-BA"/>
        </w:rPr>
        <w:tab/>
        <w:t xml:space="preserve">посједовати, директно или индиректно, </w:t>
      </w:r>
      <w:proofErr w:type="spellStart"/>
      <w:r w:rsidRPr="00EC6422">
        <w:rPr>
          <w:lang w:val="sr-Cyrl-BA"/>
        </w:rPr>
        <w:t>удио</w:t>
      </w:r>
      <w:proofErr w:type="spellEnd"/>
      <w:r w:rsidRPr="00EC6422">
        <w:rPr>
          <w:lang w:val="sr-Cyrl-BA"/>
        </w:rPr>
        <w:t xml:space="preserve"> или акције у капиталу правних лица, којима Комисија даје дозволу за обављање послова,</w:t>
      </w:r>
    </w:p>
    <w:p w14:paraId="2548EEC3"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д)</w:t>
      </w:r>
      <w:r w:rsidRPr="00EC6422">
        <w:rPr>
          <w:lang w:val="sr-Cyrl-BA"/>
        </w:rPr>
        <w:tab/>
        <w:t xml:space="preserve">бити чланови органа правних лица којима Комисија даје дозволу за обављање послова или дјелатности, као ни </w:t>
      </w:r>
      <w:proofErr w:type="spellStart"/>
      <w:r w:rsidRPr="00EC6422">
        <w:rPr>
          <w:lang w:val="sr-Cyrl-BA"/>
        </w:rPr>
        <w:t>емитената</w:t>
      </w:r>
      <w:proofErr w:type="spellEnd"/>
      <w:r w:rsidRPr="00EC6422">
        <w:rPr>
          <w:lang w:val="sr-Cyrl-BA"/>
        </w:rPr>
        <w:t xml:space="preserve"> хартија од вриједности,</w:t>
      </w:r>
    </w:p>
    <w:p w14:paraId="79FC6336"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ђ)</w:t>
      </w:r>
      <w:r w:rsidRPr="00EC6422">
        <w:rPr>
          <w:lang w:val="sr-Cyrl-BA"/>
        </w:rPr>
        <w:tab/>
        <w:t>обављати дјелатност или проводити активности које су у супротности са начелима заштите инвеститора или самосталности рада Комисије.</w:t>
      </w:r>
    </w:p>
    <w:p w14:paraId="62770D8B" w14:textId="77777777" w:rsidR="009628CE" w:rsidRPr="00EC6422" w:rsidRDefault="009628CE" w:rsidP="006B6E0C">
      <w:pPr>
        <w:spacing w:after="0" w:line="240" w:lineRule="auto"/>
        <w:ind w:firstLine="567"/>
        <w:rPr>
          <w:lang w:val="sr-Cyrl-BA"/>
        </w:rPr>
      </w:pPr>
      <w:r w:rsidRPr="00EC6422">
        <w:rPr>
          <w:lang w:val="sr-Cyrl-BA"/>
        </w:rPr>
        <w:t xml:space="preserve">Наведена ограничења примјењују се и на запослене у Комисији. </w:t>
      </w:r>
    </w:p>
    <w:p w14:paraId="0C4F8250" w14:textId="77777777" w:rsidR="009628CE" w:rsidRPr="00EC6422" w:rsidRDefault="009628CE" w:rsidP="006B6E0C">
      <w:pPr>
        <w:spacing w:after="0" w:line="240" w:lineRule="auto"/>
        <w:ind w:firstLine="567"/>
        <w:rPr>
          <w:lang w:val="sr-Cyrl-BA"/>
        </w:rPr>
      </w:pPr>
      <w:r w:rsidRPr="00EC6422">
        <w:rPr>
          <w:lang w:val="sr-Cyrl-BA"/>
        </w:rPr>
        <w:t>Поред тога, посебним етичким правилима детаљно су уређене све обавезе, ограничења и одговорности чланова и запослених у Комисији, а с циљем постизања што већег степена повјерења у тржиште хартија од вриједности.</w:t>
      </w:r>
    </w:p>
    <w:p w14:paraId="17AA22C0"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13" w:name="_Toc194970090"/>
      <w:bookmarkStart w:id="14" w:name="_Toc194970121"/>
      <w:bookmarkStart w:id="15" w:name="_Toc321408887"/>
      <w:bookmarkStart w:id="16" w:name="_Toc167960421"/>
      <w:r w:rsidRPr="00EC6422">
        <w:rPr>
          <w:rFonts w:ascii="Times New Roman" w:hAnsi="Times New Roman"/>
          <w:sz w:val="24"/>
          <w:lang w:val="sr-Cyrl-BA"/>
        </w:rPr>
        <w:lastRenderedPageBreak/>
        <w:t>Организациона структура Комисије</w:t>
      </w:r>
      <w:bookmarkEnd w:id="13"/>
      <w:bookmarkEnd w:id="14"/>
      <w:bookmarkEnd w:id="15"/>
      <w:bookmarkEnd w:id="16"/>
    </w:p>
    <w:p w14:paraId="7503DE03" w14:textId="77777777" w:rsidR="009628CE" w:rsidRPr="00EC6422" w:rsidRDefault="009628CE" w:rsidP="006B6E0C">
      <w:pPr>
        <w:spacing w:after="0" w:line="240" w:lineRule="auto"/>
        <w:ind w:firstLine="567"/>
        <w:rPr>
          <w:lang w:val="sr-Cyrl-BA"/>
        </w:rPr>
      </w:pPr>
      <w:r w:rsidRPr="00EC6422">
        <w:rPr>
          <w:lang w:val="sr-Cyrl-BA"/>
        </w:rPr>
        <w:t>Са становишта организационе структуре, Комисију чине четири сектора и Секретаријат.</w:t>
      </w:r>
    </w:p>
    <w:p w14:paraId="3069171F" w14:textId="77777777" w:rsidR="009628CE" w:rsidRPr="00EC6422" w:rsidRDefault="009628CE" w:rsidP="006B6E0C">
      <w:pPr>
        <w:keepNext/>
        <w:spacing w:before="0" w:after="0" w:line="240" w:lineRule="auto"/>
        <w:ind w:firstLine="0"/>
        <w:rPr>
          <w:lang w:val="sr-Cyrl-BA"/>
        </w:rPr>
      </w:pPr>
      <w:r w:rsidRPr="00EC6422">
        <w:rPr>
          <w:noProof/>
          <w:sz w:val="23"/>
          <w:szCs w:val="23"/>
        </w:rPr>
        <w:drawing>
          <wp:inline distT="0" distB="0" distL="0" distR="0" wp14:anchorId="0FA08F2D" wp14:editId="1DA161D4">
            <wp:extent cx="5708780" cy="2581910"/>
            <wp:effectExtent l="76200" t="0" r="101600" b="46990"/>
            <wp:docPr id="30"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AA8C7D1" w14:textId="6DEF5055" w:rsidR="009628CE" w:rsidRPr="00EC6422" w:rsidRDefault="009628CE" w:rsidP="006B6E0C">
      <w:pPr>
        <w:pStyle w:val="Caption"/>
        <w:tabs>
          <w:tab w:val="left" w:pos="1134"/>
        </w:tabs>
        <w:spacing w:after="0"/>
        <w:jc w:val="left"/>
        <w:rPr>
          <w:rFonts w:ascii="Times New Roman" w:hAnsi="Times New Roman"/>
          <w:sz w:val="24"/>
          <w:szCs w:val="24"/>
          <w:lang w:val="sr-Cyrl-BA"/>
        </w:rPr>
      </w:pPr>
      <w:bookmarkStart w:id="17" w:name="OLE_LINK5"/>
      <w:bookmarkStart w:id="18" w:name="OLE_LINK6"/>
      <w:r w:rsidRPr="005B1E90">
        <w:rPr>
          <w:rFonts w:ascii="Times New Roman" w:hAnsi="Times New Roman"/>
          <w:sz w:val="24"/>
          <w:szCs w:val="24"/>
          <w:lang w:val="sr-Cyrl-BA"/>
        </w:rPr>
        <w:t xml:space="preserve">Слика </w:t>
      </w:r>
      <w:r w:rsidR="00D3478F"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00D3478F" w:rsidRPr="005B1E90">
        <w:rPr>
          <w:rFonts w:ascii="Times New Roman" w:hAnsi="Times New Roman"/>
          <w:sz w:val="24"/>
          <w:szCs w:val="24"/>
          <w:lang w:val="sr-Cyrl-BA"/>
        </w:rPr>
        <w:fldChar w:fldCharType="separate"/>
      </w:r>
      <w:r w:rsidR="00C64B5B">
        <w:rPr>
          <w:rFonts w:ascii="Times New Roman" w:hAnsi="Times New Roman"/>
          <w:noProof/>
          <w:sz w:val="24"/>
          <w:szCs w:val="24"/>
          <w:lang w:val="sr-Cyrl-BA"/>
        </w:rPr>
        <w:t>1</w:t>
      </w:r>
      <w:r w:rsidR="00D3478F"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Pr="005B1E90">
        <w:rPr>
          <w:rFonts w:ascii="Times New Roman" w:hAnsi="Times New Roman"/>
          <w:sz w:val="24"/>
          <w:szCs w:val="24"/>
          <w:lang w:val="sr-Cyrl-BA"/>
        </w:rPr>
        <w:tab/>
      </w:r>
      <w:bookmarkEnd w:id="17"/>
      <w:bookmarkEnd w:id="18"/>
      <w:r w:rsidR="0070335D" w:rsidRPr="005B1E90">
        <w:rPr>
          <w:rFonts w:ascii="Times New Roman" w:hAnsi="Times New Roman"/>
          <w:b w:val="0"/>
          <w:sz w:val="24"/>
          <w:szCs w:val="24"/>
          <w:lang w:val="sr-Cyrl-BA"/>
        </w:rPr>
        <w:t>Организациона</w:t>
      </w:r>
      <w:r w:rsidRPr="005B1E90">
        <w:rPr>
          <w:rFonts w:ascii="Times New Roman" w:hAnsi="Times New Roman"/>
          <w:b w:val="0"/>
          <w:sz w:val="24"/>
          <w:szCs w:val="24"/>
          <w:lang w:val="sr-Cyrl-BA"/>
        </w:rPr>
        <w:t xml:space="preserve"> структура Комисије</w:t>
      </w:r>
    </w:p>
    <w:p w14:paraId="480688AC" w14:textId="77777777" w:rsidR="009628CE" w:rsidRPr="00EC6422" w:rsidRDefault="0070335D" w:rsidP="006B6E0C">
      <w:pPr>
        <w:spacing w:after="0" w:line="240" w:lineRule="auto"/>
        <w:ind w:firstLine="567"/>
        <w:rPr>
          <w:lang w:val="sr-Cyrl-BA"/>
        </w:rPr>
      </w:pPr>
      <w:r w:rsidRPr="00EC6422">
        <w:rPr>
          <w:lang w:val="sr-Cyrl-BA"/>
        </w:rPr>
        <w:t>У оквиру организационих цјелина Комисије, обављају се слиједећи послови:</w:t>
      </w:r>
      <w:r w:rsidR="009628CE" w:rsidRPr="00EC6422">
        <w:rPr>
          <w:lang w:val="sr-Cyrl-BA"/>
        </w:rPr>
        <w:t xml:space="preserve"> </w:t>
      </w:r>
    </w:p>
    <w:p w14:paraId="3DB60FF7"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припрема нацрт</w:t>
      </w:r>
      <w:r w:rsidR="0070335D" w:rsidRPr="00EC6422">
        <w:rPr>
          <w:lang w:val="sr-Cyrl-BA"/>
        </w:rPr>
        <w:t>а</w:t>
      </w:r>
      <w:r w:rsidRPr="00EC6422">
        <w:rPr>
          <w:lang w:val="sr-Cyrl-BA"/>
        </w:rPr>
        <w:t xml:space="preserve"> и приједлог</w:t>
      </w:r>
      <w:r w:rsidR="0070335D" w:rsidRPr="00EC6422">
        <w:rPr>
          <w:lang w:val="sr-Cyrl-BA"/>
        </w:rPr>
        <w:t>а</w:t>
      </w:r>
      <w:r w:rsidRPr="00EC6422">
        <w:rPr>
          <w:lang w:val="sr-Cyrl-BA"/>
        </w:rPr>
        <w:t xml:space="preserve"> прописа које доноси Комисија, </w:t>
      </w:r>
    </w:p>
    <w:p w14:paraId="0C8F5CA3"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припрема приједлог</w:t>
      </w:r>
      <w:r w:rsidR="0070335D" w:rsidRPr="00EC6422">
        <w:rPr>
          <w:lang w:val="sr-Cyrl-BA"/>
        </w:rPr>
        <w:t>а</w:t>
      </w:r>
      <w:r w:rsidRPr="00EC6422">
        <w:rPr>
          <w:lang w:val="sr-Cyrl-BA"/>
        </w:rPr>
        <w:t xml:space="preserve"> мишљења и ставова Комисије, </w:t>
      </w:r>
    </w:p>
    <w:p w14:paraId="72E18DE3"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обра</w:t>
      </w:r>
      <w:r w:rsidR="0070335D" w:rsidRPr="00EC6422">
        <w:rPr>
          <w:lang w:val="sr-Cyrl-BA"/>
        </w:rPr>
        <w:t>да</w:t>
      </w:r>
      <w:r w:rsidRPr="00EC6422">
        <w:rPr>
          <w:lang w:val="sr-Cyrl-BA"/>
        </w:rPr>
        <w:t xml:space="preserve"> захтјева за давање одобрења и дозвола овлаш</w:t>
      </w:r>
      <w:r w:rsidR="0070335D" w:rsidRPr="00EC6422">
        <w:rPr>
          <w:lang w:val="sr-Cyrl-BA"/>
        </w:rPr>
        <w:t>ћ</w:t>
      </w:r>
      <w:r w:rsidRPr="00EC6422">
        <w:rPr>
          <w:lang w:val="sr-Cyrl-BA"/>
        </w:rPr>
        <w:t xml:space="preserve">еним учесницима и </w:t>
      </w:r>
      <w:proofErr w:type="spellStart"/>
      <w:r w:rsidRPr="00EC6422">
        <w:rPr>
          <w:lang w:val="sr-Cyrl-BA"/>
        </w:rPr>
        <w:t>емитентима</w:t>
      </w:r>
      <w:proofErr w:type="spellEnd"/>
      <w:r w:rsidRPr="00EC6422">
        <w:rPr>
          <w:lang w:val="sr-Cyrl-BA"/>
        </w:rPr>
        <w:t xml:space="preserve">, </w:t>
      </w:r>
    </w:p>
    <w:p w14:paraId="520D31E7"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bookmarkStart w:id="19" w:name="OLE_LINK3"/>
      <w:bookmarkStart w:id="20" w:name="OLE_LINK4"/>
      <w:bookmarkStart w:id="21" w:name="OLE_LINK7"/>
      <w:r w:rsidRPr="00EC6422">
        <w:rPr>
          <w:lang w:val="sr-Cyrl-BA"/>
        </w:rPr>
        <w:t>пра</w:t>
      </w:r>
      <w:r w:rsidR="0070335D" w:rsidRPr="00EC6422">
        <w:rPr>
          <w:lang w:val="sr-Cyrl-BA"/>
        </w:rPr>
        <w:t>ћење</w:t>
      </w:r>
      <w:r w:rsidRPr="00EC6422">
        <w:rPr>
          <w:lang w:val="sr-Cyrl-BA"/>
        </w:rPr>
        <w:t xml:space="preserve"> </w:t>
      </w:r>
      <w:bookmarkEnd w:id="19"/>
      <w:bookmarkEnd w:id="20"/>
      <w:bookmarkEnd w:id="21"/>
      <w:r w:rsidRPr="00EC6422">
        <w:rPr>
          <w:lang w:val="sr-Cyrl-BA"/>
        </w:rPr>
        <w:t xml:space="preserve">извршења рјешења, </w:t>
      </w:r>
    </w:p>
    <w:p w14:paraId="5F404F3F"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во</w:t>
      </w:r>
      <w:r w:rsidR="0070335D" w:rsidRPr="00EC6422">
        <w:rPr>
          <w:lang w:val="sr-Cyrl-BA"/>
        </w:rPr>
        <w:t>ђење</w:t>
      </w:r>
      <w:r w:rsidRPr="00EC6422">
        <w:rPr>
          <w:lang w:val="sr-Cyrl-BA"/>
        </w:rPr>
        <w:t xml:space="preserve"> одговарајућ</w:t>
      </w:r>
      <w:r w:rsidR="0070335D" w:rsidRPr="00EC6422">
        <w:rPr>
          <w:lang w:val="sr-Cyrl-BA"/>
        </w:rPr>
        <w:t>их</w:t>
      </w:r>
      <w:r w:rsidRPr="00EC6422">
        <w:rPr>
          <w:lang w:val="sr-Cyrl-BA"/>
        </w:rPr>
        <w:t xml:space="preserve"> регист</w:t>
      </w:r>
      <w:r w:rsidR="0070335D" w:rsidRPr="00EC6422">
        <w:rPr>
          <w:lang w:val="sr-Cyrl-BA"/>
        </w:rPr>
        <w:t>а</w:t>
      </w:r>
      <w:r w:rsidRPr="00EC6422">
        <w:rPr>
          <w:lang w:val="sr-Cyrl-BA"/>
        </w:rPr>
        <w:t>р</w:t>
      </w:r>
      <w:r w:rsidR="0070335D" w:rsidRPr="00EC6422">
        <w:rPr>
          <w:lang w:val="sr-Cyrl-BA"/>
        </w:rPr>
        <w:t>а</w:t>
      </w:r>
      <w:r w:rsidRPr="00EC6422">
        <w:rPr>
          <w:lang w:val="sr-Cyrl-BA"/>
        </w:rPr>
        <w:t xml:space="preserve">, </w:t>
      </w:r>
    </w:p>
    <w:p w14:paraId="412D060B" w14:textId="77777777" w:rsidR="009628CE" w:rsidRPr="00EC6422" w:rsidRDefault="0070335D" w:rsidP="006B6E0C">
      <w:pPr>
        <w:pStyle w:val="ListParagraph"/>
        <w:numPr>
          <w:ilvl w:val="0"/>
          <w:numId w:val="2"/>
        </w:numPr>
        <w:spacing w:before="0" w:after="0" w:line="240" w:lineRule="auto"/>
        <w:ind w:left="851" w:hanging="284"/>
        <w:contextualSpacing w:val="0"/>
        <w:rPr>
          <w:lang w:val="sr-Cyrl-BA"/>
        </w:rPr>
      </w:pPr>
      <w:r w:rsidRPr="00EC6422">
        <w:rPr>
          <w:lang w:val="sr-Cyrl-BA"/>
        </w:rPr>
        <w:t xml:space="preserve">праћење </w:t>
      </w:r>
      <w:r w:rsidR="009628CE" w:rsidRPr="00EC6422">
        <w:rPr>
          <w:lang w:val="sr-Cyrl-BA"/>
        </w:rPr>
        <w:t>објављивањ</w:t>
      </w:r>
      <w:r w:rsidRPr="00EC6422">
        <w:rPr>
          <w:lang w:val="sr-Cyrl-BA"/>
        </w:rPr>
        <w:t>а</w:t>
      </w:r>
      <w:r w:rsidR="009628CE" w:rsidRPr="00EC6422">
        <w:rPr>
          <w:lang w:val="sr-Cyrl-BA"/>
        </w:rPr>
        <w:t xml:space="preserve"> финансијских и других пословних информација </w:t>
      </w:r>
      <w:proofErr w:type="spellStart"/>
      <w:r w:rsidR="009628CE" w:rsidRPr="00EC6422">
        <w:rPr>
          <w:lang w:val="sr-Cyrl-BA"/>
        </w:rPr>
        <w:t>емитената</w:t>
      </w:r>
      <w:proofErr w:type="spellEnd"/>
      <w:r w:rsidR="009628CE" w:rsidRPr="00EC6422">
        <w:rPr>
          <w:lang w:val="sr-Cyrl-BA"/>
        </w:rPr>
        <w:t xml:space="preserve"> и овлаш</w:t>
      </w:r>
      <w:r w:rsidRPr="00EC6422">
        <w:rPr>
          <w:lang w:val="sr-Cyrl-BA"/>
        </w:rPr>
        <w:t>ћ</w:t>
      </w:r>
      <w:r w:rsidR="009628CE" w:rsidRPr="00EC6422">
        <w:rPr>
          <w:lang w:val="sr-Cyrl-BA"/>
        </w:rPr>
        <w:t xml:space="preserve">ених учесника, </w:t>
      </w:r>
    </w:p>
    <w:p w14:paraId="774DABE2"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контрол</w:t>
      </w:r>
      <w:r w:rsidR="0070335D" w:rsidRPr="00EC6422">
        <w:rPr>
          <w:lang w:val="sr-Cyrl-BA"/>
        </w:rPr>
        <w:t>а</w:t>
      </w:r>
      <w:r w:rsidRPr="00EC6422">
        <w:rPr>
          <w:lang w:val="sr-Cyrl-BA"/>
        </w:rPr>
        <w:t xml:space="preserve"> извршавањ</w:t>
      </w:r>
      <w:r w:rsidR="0070335D" w:rsidRPr="00EC6422">
        <w:rPr>
          <w:lang w:val="sr-Cyrl-BA"/>
        </w:rPr>
        <w:t>а</w:t>
      </w:r>
      <w:r w:rsidRPr="00EC6422">
        <w:rPr>
          <w:lang w:val="sr-Cyrl-BA"/>
        </w:rPr>
        <w:t xml:space="preserve"> обавеза и пословањ</w:t>
      </w:r>
      <w:r w:rsidR="0070335D" w:rsidRPr="00EC6422">
        <w:rPr>
          <w:lang w:val="sr-Cyrl-BA"/>
        </w:rPr>
        <w:t>а</w:t>
      </w:r>
      <w:r w:rsidRPr="00EC6422">
        <w:rPr>
          <w:lang w:val="sr-Cyrl-BA"/>
        </w:rPr>
        <w:t xml:space="preserve"> овлашћених учесника, </w:t>
      </w:r>
    </w:p>
    <w:p w14:paraId="79C7FFC6"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да</w:t>
      </w:r>
      <w:r w:rsidR="0070335D" w:rsidRPr="00EC6422">
        <w:rPr>
          <w:lang w:val="sr-Cyrl-BA"/>
        </w:rPr>
        <w:t>вање</w:t>
      </w:r>
      <w:r w:rsidRPr="00EC6422">
        <w:rPr>
          <w:lang w:val="sr-Cyrl-BA"/>
        </w:rPr>
        <w:t xml:space="preserve"> сагласности на акте овлашћених учесника и </w:t>
      </w:r>
    </w:p>
    <w:p w14:paraId="08AC46BE"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прикупља</w:t>
      </w:r>
      <w:r w:rsidR="0070335D" w:rsidRPr="00EC6422">
        <w:rPr>
          <w:lang w:val="sr-Cyrl-BA"/>
        </w:rPr>
        <w:t>ње</w:t>
      </w:r>
      <w:r w:rsidRPr="00EC6422">
        <w:rPr>
          <w:lang w:val="sr-Cyrl-BA"/>
        </w:rPr>
        <w:t xml:space="preserve"> информациј</w:t>
      </w:r>
      <w:r w:rsidR="0070335D" w:rsidRPr="00EC6422">
        <w:rPr>
          <w:lang w:val="sr-Cyrl-BA"/>
        </w:rPr>
        <w:t>а</w:t>
      </w:r>
      <w:r w:rsidRPr="00EC6422">
        <w:rPr>
          <w:lang w:val="sr-Cyrl-BA"/>
        </w:rPr>
        <w:t xml:space="preserve"> и изра</w:t>
      </w:r>
      <w:r w:rsidR="0070335D" w:rsidRPr="00EC6422">
        <w:rPr>
          <w:lang w:val="sr-Cyrl-BA"/>
        </w:rPr>
        <w:t>да</w:t>
      </w:r>
      <w:r w:rsidRPr="00EC6422">
        <w:rPr>
          <w:lang w:val="sr-Cyrl-BA"/>
        </w:rPr>
        <w:t xml:space="preserve"> извјештај</w:t>
      </w:r>
      <w:r w:rsidR="0070335D" w:rsidRPr="00EC6422">
        <w:rPr>
          <w:lang w:val="sr-Cyrl-BA"/>
        </w:rPr>
        <w:t>а</w:t>
      </w:r>
      <w:r w:rsidRPr="00EC6422">
        <w:rPr>
          <w:lang w:val="sr-Cyrl-BA"/>
        </w:rPr>
        <w:t xml:space="preserve"> о стању и проблематици из своје области. </w:t>
      </w:r>
    </w:p>
    <w:p w14:paraId="5422AB95" w14:textId="77777777" w:rsidR="009628CE" w:rsidRPr="00EC6422" w:rsidRDefault="009628CE" w:rsidP="006B6E0C">
      <w:pPr>
        <w:spacing w:after="0" w:line="240" w:lineRule="auto"/>
        <w:ind w:firstLine="567"/>
        <w:rPr>
          <w:lang w:val="sr-Cyrl-BA"/>
        </w:rPr>
      </w:pPr>
      <w:r w:rsidRPr="00EC6422">
        <w:rPr>
          <w:lang w:val="sr-Cyrl-BA"/>
        </w:rPr>
        <w:t>Секретаријат као посебан организациони дио обавља послове који су од заједничког интереса за Комисију у цјелини и чијим се вршењем обезбјеђује несметан, ефикасан и усклађен рад свих организационих дијелова, као и стручно-оперативне послове правне и економске природе, финансијско-материјалне послове, информатичке, документационе, статистичко-</w:t>
      </w:r>
      <w:proofErr w:type="spellStart"/>
      <w:r w:rsidRPr="00EC6422">
        <w:rPr>
          <w:lang w:val="sr-Cyrl-BA"/>
        </w:rPr>
        <w:t>евиденционе</w:t>
      </w:r>
      <w:proofErr w:type="spellEnd"/>
      <w:r w:rsidRPr="00EC6422">
        <w:rPr>
          <w:lang w:val="sr-Cyrl-BA"/>
        </w:rPr>
        <w:t xml:space="preserve">, канцеларијске, </w:t>
      </w:r>
      <w:proofErr w:type="spellStart"/>
      <w:r w:rsidRPr="00EC6422">
        <w:rPr>
          <w:lang w:val="sr-Cyrl-BA"/>
        </w:rPr>
        <w:t>биротехничке</w:t>
      </w:r>
      <w:proofErr w:type="spellEnd"/>
      <w:r w:rsidRPr="00EC6422">
        <w:rPr>
          <w:lang w:val="sr-Cyrl-BA"/>
        </w:rPr>
        <w:t xml:space="preserve"> и послове текућег и инвестиционог одржавања и </w:t>
      </w:r>
      <w:proofErr w:type="spellStart"/>
      <w:r w:rsidRPr="00EC6422">
        <w:rPr>
          <w:lang w:val="sr-Cyrl-BA"/>
        </w:rPr>
        <w:t>обезбјеђивања</w:t>
      </w:r>
      <w:proofErr w:type="spellEnd"/>
      <w:r w:rsidRPr="00EC6422">
        <w:rPr>
          <w:lang w:val="sr-Cyrl-BA"/>
        </w:rPr>
        <w:t xml:space="preserve"> других услова рада.</w:t>
      </w:r>
    </w:p>
    <w:p w14:paraId="511D54AF" w14:textId="77777777" w:rsidR="009628CE" w:rsidRPr="00EC6422" w:rsidRDefault="009628CE" w:rsidP="006B6E0C">
      <w:pPr>
        <w:spacing w:before="0" w:after="200" w:line="240" w:lineRule="auto"/>
        <w:ind w:firstLine="0"/>
        <w:jc w:val="left"/>
        <w:rPr>
          <w:rFonts w:eastAsiaTheme="majorEastAsia"/>
          <w:b/>
          <w:bCs/>
          <w:caps/>
          <w:color w:val="FFFFFF" w:themeColor="background1"/>
          <w:kern w:val="32"/>
          <w:sz w:val="28"/>
          <w:szCs w:val="32"/>
          <w:lang w:val="sr-Cyrl-BA"/>
        </w:rPr>
      </w:pPr>
      <w:bookmarkStart w:id="22" w:name="_Toc194970091"/>
      <w:bookmarkStart w:id="23" w:name="_Toc194970122"/>
      <w:r w:rsidRPr="00EC6422">
        <w:rPr>
          <w:lang w:val="sr-Cyrl-BA"/>
        </w:rPr>
        <w:br w:type="page"/>
      </w:r>
    </w:p>
    <w:p w14:paraId="6D46AA71"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24" w:name="_Toc167960422"/>
      <w:bookmarkStart w:id="25" w:name="_Toc98669715"/>
      <w:bookmarkStart w:id="26" w:name="_Toc165100103"/>
      <w:bookmarkStart w:id="27" w:name="_Toc258484689"/>
      <w:bookmarkStart w:id="28" w:name="_Toc321408889"/>
      <w:bookmarkStart w:id="29" w:name="_Toc194970093"/>
      <w:bookmarkStart w:id="30" w:name="_Toc194970124"/>
      <w:bookmarkEnd w:id="22"/>
      <w:bookmarkEnd w:id="23"/>
      <w:r w:rsidRPr="00EC6422">
        <w:rPr>
          <w:rFonts w:ascii="Times New Roman" w:hAnsi="Times New Roman"/>
          <w:caps w:val="0"/>
          <w:color w:val="002060"/>
          <w:lang w:val="sr-Cyrl-BA"/>
        </w:rPr>
        <w:lastRenderedPageBreak/>
        <w:t>СТАТИСТИЧКИ ПОДАЦИ О РАДУ КОМИСИЈЕ</w:t>
      </w:r>
      <w:bookmarkEnd w:id="24"/>
    </w:p>
    <w:p w14:paraId="4B05AE55" w14:textId="77777777" w:rsidR="009628CE" w:rsidRDefault="009628CE" w:rsidP="006B6E0C">
      <w:pPr>
        <w:pStyle w:val="Heading2"/>
        <w:spacing w:before="240" w:after="120" w:line="240" w:lineRule="auto"/>
        <w:ind w:left="578" w:hanging="578"/>
        <w:rPr>
          <w:rFonts w:ascii="Times New Roman" w:hAnsi="Times New Roman"/>
          <w:sz w:val="24"/>
          <w:lang w:val="sr-Cyrl-BA"/>
        </w:rPr>
      </w:pPr>
      <w:bookmarkStart w:id="31" w:name="_Toc167960423"/>
      <w:r w:rsidRPr="00EC6422">
        <w:rPr>
          <w:rFonts w:ascii="Times New Roman" w:hAnsi="Times New Roman"/>
          <w:sz w:val="24"/>
          <w:lang w:val="sr-Cyrl-BA"/>
        </w:rPr>
        <w:t>Сједнице Комисије</w:t>
      </w:r>
      <w:bookmarkEnd w:id="25"/>
      <w:bookmarkEnd w:id="26"/>
      <w:bookmarkEnd w:id="27"/>
      <w:bookmarkEnd w:id="28"/>
      <w:bookmarkEnd w:id="31"/>
    </w:p>
    <w:tbl>
      <w:tblPr>
        <w:tblStyle w:val="LightGrid-Accent11"/>
        <w:tblW w:w="0" w:type="auto"/>
        <w:jc w:val="center"/>
        <w:tblLook w:val="0420" w:firstRow="1" w:lastRow="0" w:firstColumn="0" w:lastColumn="0" w:noHBand="0" w:noVBand="1"/>
      </w:tblPr>
      <w:tblGrid>
        <w:gridCol w:w="7407"/>
        <w:gridCol w:w="1382"/>
      </w:tblGrid>
      <w:tr w:rsidR="0060565E" w:rsidRPr="00580CFB" w14:paraId="565597C9" w14:textId="77777777" w:rsidTr="00B37B23">
        <w:trPr>
          <w:cnfStyle w:val="100000000000" w:firstRow="1" w:lastRow="0" w:firstColumn="0" w:lastColumn="0" w:oddVBand="0" w:evenVBand="0" w:oddHBand="0" w:evenHBand="0" w:firstRowFirstColumn="0" w:firstRowLastColumn="0" w:lastRowFirstColumn="0" w:lastRowLastColumn="0"/>
          <w:jc w:val="center"/>
        </w:trPr>
        <w:tc>
          <w:tcPr>
            <w:tcW w:w="7407" w:type="dxa"/>
          </w:tcPr>
          <w:p w14:paraId="697D5D20" w14:textId="77777777" w:rsidR="0060565E" w:rsidRPr="00580CFB" w:rsidRDefault="0060565E" w:rsidP="00FC63D2">
            <w:pPr>
              <w:pStyle w:val="Table"/>
              <w:rPr>
                <w:rFonts w:ascii="Times New Roman" w:hAnsi="Times New Roman" w:cs="Times New Roman"/>
                <w:color w:val="002060"/>
                <w:sz w:val="22"/>
                <w:szCs w:val="22"/>
                <w:lang w:val="sr-Cyrl-BA"/>
              </w:rPr>
            </w:pPr>
            <w:r w:rsidRPr="00580CFB">
              <w:rPr>
                <w:rFonts w:ascii="Times New Roman" w:hAnsi="Times New Roman" w:cs="Times New Roman"/>
                <w:color w:val="002060"/>
                <w:sz w:val="22"/>
                <w:szCs w:val="22"/>
                <w:lang w:val="sr-Cyrl-BA"/>
              </w:rPr>
              <w:t>Опис</w:t>
            </w:r>
          </w:p>
        </w:tc>
        <w:tc>
          <w:tcPr>
            <w:tcW w:w="1382" w:type="dxa"/>
          </w:tcPr>
          <w:p w14:paraId="096A83F9" w14:textId="77777777" w:rsidR="0060565E" w:rsidRPr="00580CFB" w:rsidRDefault="0060565E" w:rsidP="00FC63D2">
            <w:pPr>
              <w:pStyle w:val="Table"/>
              <w:jc w:val="center"/>
              <w:rPr>
                <w:rFonts w:ascii="Times New Roman" w:hAnsi="Times New Roman" w:cs="Times New Roman"/>
                <w:color w:val="002060"/>
                <w:sz w:val="22"/>
                <w:szCs w:val="22"/>
                <w:lang w:val="sr-Cyrl-BA"/>
              </w:rPr>
            </w:pPr>
            <w:r w:rsidRPr="00580CFB">
              <w:rPr>
                <w:rFonts w:ascii="Times New Roman" w:hAnsi="Times New Roman" w:cs="Times New Roman"/>
                <w:color w:val="002060"/>
                <w:sz w:val="22"/>
                <w:szCs w:val="22"/>
                <w:lang w:val="sr-Cyrl-BA"/>
              </w:rPr>
              <w:t>Број</w:t>
            </w:r>
          </w:p>
        </w:tc>
      </w:tr>
      <w:tr w:rsidR="0060565E" w:rsidRPr="00580CFB" w14:paraId="435BD1C1"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2CACD9EE" w14:textId="77777777" w:rsidR="0060565E" w:rsidRPr="00580CFB" w:rsidRDefault="0060565E" w:rsidP="00580CFB">
            <w:pPr>
              <w:pStyle w:val="Table"/>
              <w:numPr>
                <w:ilvl w:val="0"/>
                <w:numId w:val="45"/>
              </w:numPr>
              <w:ind w:left="459" w:hanging="283"/>
              <w:jc w:val="left"/>
              <w:rPr>
                <w:rFonts w:ascii="Times New Roman" w:hAnsi="Times New Roman" w:cs="Times New Roman"/>
                <w:sz w:val="22"/>
                <w:szCs w:val="22"/>
                <w:lang w:val="sr-Cyrl-BA"/>
              </w:rPr>
            </w:pPr>
            <w:r w:rsidRPr="00580CFB">
              <w:rPr>
                <w:rFonts w:ascii="Times New Roman" w:hAnsi="Times New Roman" w:cs="Times New Roman"/>
                <w:sz w:val="22"/>
                <w:szCs w:val="22"/>
                <w:lang w:val="sr-Cyrl-BA"/>
              </w:rPr>
              <w:t>Одржане сједнице</w:t>
            </w:r>
          </w:p>
        </w:tc>
        <w:tc>
          <w:tcPr>
            <w:tcW w:w="1382" w:type="dxa"/>
          </w:tcPr>
          <w:p w14:paraId="7E31461D" w14:textId="77777777" w:rsidR="0060565E" w:rsidRPr="009C0BB3" w:rsidRDefault="0060565E"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50</w:t>
            </w:r>
          </w:p>
        </w:tc>
      </w:tr>
      <w:tr w:rsidR="0060565E" w:rsidRPr="00580CFB" w14:paraId="4561A6E1"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348A9F79" w14:textId="77777777" w:rsidR="0060565E" w:rsidRPr="00580CFB" w:rsidRDefault="0060565E" w:rsidP="0060565E">
            <w:pPr>
              <w:pStyle w:val="Table"/>
              <w:numPr>
                <w:ilvl w:val="0"/>
                <w:numId w:val="45"/>
              </w:numPr>
              <w:ind w:left="459" w:hanging="283"/>
              <w:jc w:val="left"/>
              <w:rPr>
                <w:rFonts w:ascii="Times New Roman" w:hAnsi="Times New Roman" w:cs="Times New Roman"/>
                <w:sz w:val="22"/>
                <w:szCs w:val="22"/>
                <w:lang w:val="sr-Cyrl-BA"/>
              </w:rPr>
            </w:pPr>
            <w:r w:rsidRPr="00580CFB">
              <w:rPr>
                <w:rFonts w:ascii="Times New Roman" w:hAnsi="Times New Roman" w:cs="Times New Roman"/>
                <w:sz w:val="22"/>
                <w:szCs w:val="22"/>
                <w:lang w:val="sr-Cyrl-BA"/>
              </w:rPr>
              <w:t>Донесени акти:</w:t>
            </w:r>
          </w:p>
        </w:tc>
        <w:tc>
          <w:tcPr>
            <w:tcW w:w="1382" w:type="dxa"/>
          </w:tcPr>
          <w:p w14:paraId="4514ADF0" w14:textId="77777777" w:rsidR="0060565E" w:rsidRPr="009C0BB3" w:rsidRDefault="0060565E"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308</w:t>
            </w:r>
          </w:p>
        </w:tc>
      </w:tr>
      <w:tr w:rsidR="0060565E" w:rsidRPr="00580CFB" w14:paraId="6B2ADD38"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4E4BE5A5"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а) Предсједник</w:t>
            </w:r>
          </w:p>
        </w:tc>
        <w:tc>
          <w:tcPr>
            <w:tcW w:w="1382" w:type="dxa"/>
          </w:tcPr>
          <w:p w14:paraId="50B5D7F6" w14:textId="77777777" w:rsidR="0060565E" w:rsidRPr="009C0BB3" w:rsidRDefault="0060565E"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2</w:t>
            </w:r>
          </w:p>
        </w:tc>
      </w:tr>
      <w:tr w:rsidR="0060565E" w:rsidRPr="00580CFB" w14:paraId="04C0AC51"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667599EA"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б) Секретаријат</w:t>
            </w:r>
          </w:p>
        </w:tc>
        <w:tc>
          <w:tcPr>
            <w:tcW w:w="1382" w:type="dxa"/>
          </w:tcPr>
          <w:p w14:paraId="489E877D" w14:textId="77777777" w:rsidR="0060565E" w:rsidRPr="009C0BB3" w:rsidRDefault="0060565E"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65</w:t>
            </w:r>
          </w:p>
        </w:tc>
      </w:tr>
      <w:tr w:rsidR="0060565E" w:rsidRPr="00580CFB" w14:paraId="12E0CDA6"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6E9F5419"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в) Емисија хартија од вриједности</w:t>
            </w:r>
          </w:p>
        </w:tc>
        <w:tc>
          <w:tcPr>
            <w:tcW w:w="1382" w:type="dxa"/>
          </w:tcPr>
          <w:p w14:paraId="716A3785" w14:textId="77777777" w:rsidR="0060565E" w:rsidRPr="009C0BB3" w:rsidRDefault="0060565E"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80</w:t>
            </w:r>
          </w:p>
        </w:tc>
      </w:tr>
      <w:tr w:rsidR="0060565E" w:rsidRPr="00580CFB" w14:paraId="430291A9"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553E152C"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г) Развој и међународна сарадња</w:t>
            </w:r>
          </w:p>
        </w:tc>
        <w:tc>
          <w:tcPr>
            <w:tcW w:w="1382" w:type="dxa"/>
          </w:tcPr>
          <w:p w14:paraId="49BF17D8" w14:textId="290FC25A" w:rsidR="0060565E" w:rsidRPr="009C0BB3" w:rsidRDefault="00B37B23"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5</w:t>
            </w:r>
          </w:p>
        </w:tc>
      </w:tr>
      <w:tr w:rsidR="0060565E" w:rsidRPr="00580CFB" w14:paraId="7DDDEFAE"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549AD237"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д) Издавање дозвола и сагласности учесницима на тржишту</w:t>
            </w:r>
          </w:p>
        </w:tc>
        <w:tc>
          <w:tcPr>
            <w:tcW w:w="1382" w:type="dxa"/>
          </w:tcPr>
          <w:p w14:paraId="527F6F4E" w14:textId="57B28F3B" w:rsidR="0060565E" w:rsidRPr="009C0BB3" w:rsidRDefault="00B37B23"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92</w:t>
            </w:r>
          </w:p>
        </w:tc>
      </w:tr>
      <w:tr w:rsidR="0060565E" w:rsidRPr="00580CFB" w14:paraId="3708F76F"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4640D913" w14:textId="77777777" w:rsidR="0060565E" w:rsidRPr="00580CFB" w:rsidRDefault="0060565E" w:rsidP="00FC63D2">
            <w:pPr>
              <w:pStyle w:val="Table"/>
              <w:ind w:left="459"/>
              <w:rPr>
                <w:rFonts w:ascii="Times New Roman" w:hAnsi="Times New Roman" w:cs="Times New Roman"/>
                <w:sz w:val="22"/>
                <w:szCs w:val="22"/>
                <w:lang w:val="sr-Cyrl-BA"/>
              </w:rPr>
            </w:pPr>
            <w:r w:rsidRPr="00580CFB">
              <w:rPr>
                <w:rFonts w:ascii="Times New Roman" w:hAnsi="Times New Roman" w:cs="Times New Roman"/>
                <w:sz w:val="22"/>
                <w:szCs w:val="22"/>
                <w:lang w:val="sr-Cyrl-BA"/>
              </w:rPr>
              <w:t>ђ) Надзор</w:t>
            </w:r>
          </w:p>
        </w:tc>
        <w:tc>
          <w:tcPr>
            <w:tcW w:w="1382" w:type="dxa"/>
          </w:tcPr>
          <w:p w14:paraId="40D49946" w14:textId="504551EC" w:rsidR="0060565E" w:rsidRPr="009C0BB3" w:rsidRDefault="00B37B23" w:rsidP="009C0BB3">
            <w:pPr>
              <w:pStyle w:val="Table"/>
              <w:tabs>
                <w:tab w:val="decimal" w:pos="744"/>
              </w:tabs>
              <w:ind w:right="44"/>
              <w:jc w:val="left"/>
              <w:rPr>
                <w:rFonts w:ascii="Times New Roman" w:hAnsi="Times New Roman" w:cs="Times New Roman"/>
              </w:rPr>
            </w:pPr>
            <w:r w:rsidRPr="009C0BB3">
              <w:rPr>
                <w:rFonts w:ascii="Times New Roman" w:hAnsi="Times New Roman" w:cs="Times New Roman"/>
              </w:rPr>
              <w:t>64</w:t>
            </w:r>
          </w:p>
        </w:tc>
      </w:tr>
    </w:tbl>
    <w:p w14:paraId="682EEEFC" w14:textId="0F93008B" w:rsidR="009628CE" w:rsidRDefault="009628CE" w:rsidP="006B6E0C">
      <w:pPr>
        <w:pStyle w:val="Caption"/>
        <w:tabs>
          <w:tab w:val="left" w:pos="1276"/>
        </w:tabs>
        <w:spacing w:after="12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1</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proofErr w:type="spellStart"/>
      <w:r w:rsidRPr="00EC6422">
        <w:rPr>
          <w:rFonts w:ascii="Times New Roman" w:hAnsi="Times New Roman"/>
          <w:b w:val="0"/>
          <w:sz w:val="24"/>
          <w:szCs w:val="24"/>
          <w:lang w:val="sr-Cyrl-BA"/>
        </w:rPr>
        <w:t>Преглед</w:t>
      </w:r>
      <w:proofErr w:type="spellEnd"/>
      <w:r w:rsidRPr="00EC6422">
        <w:rPr>
          <w:rFonts w:ascii="Times New Roman" w:hAnsi="Times New Roman"/>
          <w:sz w:val="24"/>
          <w:szCs w:val="24"/>
          <w:lang w:val="sr-Cyrl-BA"/>
        </w:rPr>
        <w:t xml:space="preserve"> </w:t>
      </w:r>
      <w:r w:rsidRPr="00EC6422">
        <w:rPr>
          <w:rFonts w:ascii="Times New Roman" w:hAnsi="Times New Roman"/>
          <w:b w:val="0"/>
          <w:sz w:val="24"/>
          <w:szCs w:val="24"/>
          <w:lang w:val="sr-Cyrl-BA"/>
        </w:rPr>
        <w:t xml:space="preserve">одржаних сједница Комисије у </w:t>
      </w:r>
      <w:r w:rsidR="000F3F68">
        <w:rPr>
          <w:rFonts w:ascii="Times New Roman" w:hAnsi="Times New Roman"/>
          <w:b w:val="0"/>
          <w:sz w:val="24"/>
          <w:szCs w:val="24"/>
          <w:lang w:val="sr-Latn-BA"/>
        </w:rPr>
        <w:t>202</w:t>
      </w:r>
      <w:r w:rsidR="0060565E">
        <w:rPr>
          <w:rFonts w:ascii="Times New Roman" w:hAnsi="Times New Roman"/>
          <w:b w:val="0"/>
          <w:sz w:val="24"/>
          <w:szCs w:val="24"/>
          <w:lang w:val="sr-Cyrl-BA"/>
        </w:rPr>
        <w:t>3</w:t>
      </w:r>
      <w:r w:rsidRPr="00EC6422">
        <w:rPr>
          <w:rFonts w:ascii="Times New Roman" w:hAnsi="Times New Roman"/>
          <w:b w:val="0"/>
          <w:sz w:val="24"/>
          <w:szCs w:val="24"/>
          <w:lang w:val="sr-Cyrl-BA"/>
        </w:rPr>
        <w:t>. години по тачкама дневног реда</w:t>
      </w:r>
    </w:p>
    <w:tbl>
      <w:tblPr>
        <w:tblStyle w:val="LightGrid-Accent121"/>
        <w:tblW w:w="8779" w:type="dxa"/>
        <w:jc w:val="center"/>
        <w:tblLook w:val="0460" w:firstRow="1" w:lastRow="1" w:firstColumn="0" w:lastColumn="0" w:noHBand="0" w:noVBand="1"/>
      </w:tblPr>
      <w:tblGrid>
        <w:gridCol w:w="7361"/>
        <w:gridCol w:w="1418"/>
      </w:tblGrid>
      <w:tr w:rsidR="0060565E" w:rsidRPr="00950DFC" w14:paraId="711075C5" w14:textId="77777777" w:rsidTr="00FC63D2">
        <w:trPr>
          <w:cnfStyle w:val="100000000000" w:firstRow="1" w:lastRow="0" w:firstColumn="0" w:lastColumn="0" w:oddVBand="0" w:evenVBand="0" w:oddHBand="0" w:evenHBand="0" w:firstRowFirstColumn="0" w:firstRowLastColumn="0" w:lastRowFirstColumn="0" w:lastRowLastColumn="0"/>
          <w:trHeight w:val="300"/>
          <w:jc w:val="center"/>
        </w:trPr>
        <w:tc>
          <w:tcPr>
            <w:tcW w:w="7361" w:type="dxa"/>
            <w:noWrap/>
            <w:hideMark/>
          </w:tcPr>
          <w:p w14:paraId="18D26BB0" w14:textId="77288213" w:rsidR="0060565E" w:rsidRPr="00950DFC" w:rsidRDefault="0060565E" w:rsidP="0060565E">
            <w:pPr>
              <w:pStyle w:val="Table"/>
              <w:rPr>
                <w:rFonts w:ascii="Times New Roman" w:hAnsi="Times New Roman"/>
                <w:color w:val="000000"/>
                <w:sz w:val="24"/>
                <w:szCs w:val="24"/>
                <w:lang w:val="sr-Cyrl-BA"/>
              </w:rPr>
            </w:pPr>
            <w:r w:rsidRPr="0060565E">
              <w:rPr>
                <w:rFonts w:ascii="Times New Roman" w:hAnsi="Times New Roman"/>
                <w:color w:val="002060"/>
                <w:sz w:val="22"/>
                <w:szCs w:val="22"/>
                <w:lang w:val="sr-Cyrl-BA"/>
              </w:rPr>
              <w:t>Опис</w:t>
            </w:r>
          </w:p>
        </w:tc>
        <w:tc>
          <w:tcPr>
            <w:tcW w:w="1418" w:type="dxa"/>
            <w:noWrap/>
            <w:hideMark/>
          </w:tcPr>
          <w:p w14:paraId="5B79F748" w14:textId="5737A4AF" w:rsidR="0060565E" w:rsidRPr="0060565E" w:rsidRDefault="0060565E" w:rsidP="0060565E">
            <w:pPr>
              <w:pStyle w:val="Table"/>
              <w:jc w:val="center"/>
              <w:rPr>
                <w:rFonts w:ascii="Times New Roman" w:hAnsi="Times New Roman"/>
                <w:color w:val="000000"/>
                <w:sz w:val="24"/>
                <w:szCs w:val="24"/>
                <w:lang w:val="sr-Latn-BA"/>
              </w:rPr>
            </w:pPr>
            <w:r w:rsidRPr="0060565E">
              <w:rPr>
                <w:rFonts w:ascii="Times New Roman" w:hAnsi="Times New Roman"/>
                <w:color w:val="002060"/>
                <w:sz w:val="22"/>
                <w:szCs w:val="22"/>
                <w:lang w:val="sr-Cyrl-BA"/>
              </w:rPr>
              <w:t>Број</w:t>
            </w:r>
          </w:p>
        </w:tc>
      </w:tr>
      <w:tr w:rsidR="0060565E" w:rsidRPr="00950DFC" w14:paraId="00884BF8" w14:textId="77777777" w:rsidTr="00FC63D2">
        <w:trPr>
          <w:cnfStyle w:val="000000100000" w:firstRow="0" w:lastRow="0" w:firstColumn="0" w:lastColumn="0" w:oddVBand="0" w:evenVBand="0" w:oddHBand="1" w:evenHBand="0" w:firstRowFirstColumn="0" w:firstRowLastColumn="0" w:lastRowFirstColumn="0" w:lastRowLastColumn="0"/>
          <w:trHeight w:val="127"/>
          <w:jc w:val="center"/>
        </w:trPr>
        <w:tc>
          <w:tcPr>
            <w:tcW w:w="7361" w:type="dxa"/>
            <w:noWrap/>
            <w:hideMark/>
          </w:tcPr>
          <w:p w14:paraId="1F8306FF"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Правилници</w:t>
            </w:r>
          </w:p>
        </w:tc>
        <w:tc>
          <w:tcPr>
            <w:tcW w:w="1418" w:type="dxa"/>
            <w:noWrap/>
          </w:tcPr>
          <w:p w14:paraId="00B02501" w14:textId="77777777" w:rsidR="0060565E" w:rsidRPr="00950DFC" w:rsidRDefault="0060565E" w:rsidP="0060565E">
            <w:pPr>
              <w:pStyle w:val="Table"/>
              <w:tabs>
                <w:tab w:val="decimal" w:pos="744"/>
              </w:tabs>
              <w:ind w:right="44"/>
              <w:jc w:val="left"/>
              <w:rPr>
                <w:rFonts w:ascii="Times New Roman" w:eastAsia="Calibri" w:hAnsi="Times New Roman"/>
                <w:sz w:val="22"/>
                <w:szCs w:val="22"/>
                <w:lang w:val="sr-Cyrl-BA"/>
              </w:rPr>
            </w:pPr>
            <w:r w:rsidRPr="00A11A5D">
              <w:t>17</w:t>
            </w:r>
          </w:p>
        </w:tc>
      </w:tr>
      <w:tr w:rsidR="0060565E" w:rsidRPr="00950DFC" w14:paraId="49B581FF" w14:textId="77777777" w:rsidTr="00FC63D2">
        <w:trPr>
          <w:cnfStyle w:val="000000010000" w:firstRow="0" w:lastRow="0" w:firstColumn="0" w:lastColumn="0" w:oddVBand="0" w:evenVBand="0" w:oddHBand="0" w:evenHBand="1" w:firstRowFirstColumn="0" w:firstRowLastColumn="0" w:lastRowFirstColumn="0" w:lastRowLastColumn="0"/>
          <w:trHeight w:val="100"/>
          <w:jc w:val="center"/>
        </w:trPr>
        <w:tc>
          <w:tcPr>
            <w:tcW w:w="7361" w:type="dxa"/>
            <w:noWrap/>
            <w:hideMark/>
          </w:tcPr>
          <w:p w14:paraId="07D709D8"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Одлуке</w:t>
            </w:r>
          </w:p>
        </w:tc>
        <w:tc>
          <w:tcPr>
            <w:tcW w:w="1418" w:type="dxa"/>
            <w:noWrap/>
          </w:tcPr>
          <w:p w14:paraId="5FA14A8A" w14:textId="77777777" w:rsidR="0060565E" w:rsidRPr="0060565E" w:rsidRDefault="0060565E" w:rsidP="0060565E">
            <w:pPr>
              <w:pStyle w:val="Table"/>
              <w:tabs>
                <w:tab w:val="decimal" w:pos="744"/>
              </w:tabs>
              <w:ind w:right="44"/>
              <w:jc w:val="left"/>
            </w:pPr>
            <w:r w:rsidRPr="00A11A5D">
              <w:t>9</w:t>
            </w:r>
          </w:p>
        </w:tc>
      </w:tr>
      <w:tr w:rsidR="0060565E" w:rsidRPr="00950DFC" w14:paraId="2968FB3E" w14:textId="77777777" w:rsidTr="00FC63D2">
        <w:trPr>
          <w:cnfStyle w:val="000000100000" w:firstRow="0" w:lastRow="0" w:firstColumn="0" w:lastColumn="0" w:oddVBand="0" w:evenVBand="0" w:oddHBand="1" w:evenHBand="0" w:firstRowFirstColumn="0" w:firstRowLastColumn="0" w:lastRowFirstColumn="0" w:lastRowLastColumn="0"/>
          <w:trHeight w:val="204"/>
          <w:jc w:val="center"/>
        </w:trPr>
        <w:tc>
          <w:tcPr>
            <w:tcW w:w="7361" w:type="dxa"/>
            <w:noWrap/>
            <w:hideMark/>
          </w:tcPr>
          <w:p w14:paraId="5348E9A7"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Рјешења</w:t>
            </w:r>
          </w:p>
        </w:tc>
        <w:tc>
          <w:tcPr>
            <w:tcW w:w="1418" w:type="dxa"/>
            <w:noWrap/>
          </w:tcPr>
          <w:p w14:paraId="2F389997" w14:textId="77777777" w:rsidR="0060565E" w:rsidRPr="0060565E" w:rsidRDefault="0060565E" w:rsidP="0060565E">
            <w:pPr>
              <w:pStyle w:val="Table"/>
              <w:tabs>
                <w:tab w:val="decimal" w:pos="744"/>
              </w:tabs>
              <w:ind w:right="44"/>
              <w:jc w:val="left"/>
            </w:pPr>
            <w:r w:rsidRPr="00A11A5D">
              <w:t>129</w:t>
            </w:r>
          </w:p>
        </w:tc>
      </w:tr>
      <w:tr w:rsidR="0060565E" w:rsidRPr="00950DFC" w14:paraId="7CD212B8" w14:textId="77777777" w:rsidTr="00FC63D2">
        <w:trPr>
          <w:cnfStyle w:val="000000010000" w:firstRow="0" w:lastRow="0" w:firstColumn="0" w:lastColumn="0" w:oddVBand="0" w:evenVBand="0" w:oddHBand="0" w:evenHBand="1" w:firstRowFirstColumn="0" w:firstRowLastColumn="0" w:lastRowFirstColumn="0" w:lastRowLastColumn="0"/>
          <w:trHeight w:val="166"/>
          <w:jc w:val="center"/>
        </w:trPr>
        <w:tc>
          <w:tcPr>
            <w:tcW w:w="7361" w:type="dxa"/>
            <w:noWrap/>
            <w:hideMark/>
          </w:tcPr>
          <w:p w14:paraId="3B7B34A4" w14:textId="77777777" w:rsidR="0060565E" w:rsidRPr="00950DFC" w:rsidRDefault="0060565E" w:rsidP="0060565E">
            <w:pPr>
              <w:spacing w:after="0" w:line="240" w:lineRule="auto"/>
              <w:ind w:left="746" w:hanging="425"/>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a) Сектор за емисију хартија од вриједности</w:t>
            </w:r>
          </w:p>
        </w:tc>
        <w:tc>
          <w:tcPr>
            <w:tcW w:w="1418" w:type="dxa"/>
            <w:noWrap/>
          </w:tcPr>
          <w:p w14:paraId="009F5D7C" w14:textId="77777777" w:rsidR="0060565E" w:rsidRPr="0060565E" w:rsidRDefault="0060565E" w:rsidP="0060565E">
            <w:pPr>
              <w:pStyle w:val="Table"/>
              <w:tabs>
                <w:tab w:val="decimal" w:pos="744"/>
              </w:tabs>
              <w:ind w:right="44"/>
              <w:jc w:val="left"/>
            </w:pPr>
            <w:r w:rsidRPr="00A11A5D">
              <w:t>53</w:t>
            </w:r>
          </w:p>
        </w:tc>
      </w:tr>
      <w:tr w:rsidR="0060565E" w:rsidRPr="00950DFC" w14:paraId="53E9F28B" w14:textId="77777777" w:rsidTr="00FC63D2">
        <w:trPr>
          <w:cnfStyle w:val="000000100000" w:firstRow="0" w:lastRow="0" w:firstColumn="0" w:lastColumn="0" w:oddVBand="0" w:evenVBand="0" w:oddHBand="1" w:evenHBand="0" w:firstRowFirstColumn="0" w:firstRowLastColumn="0" w:lastRowFirstColumn="0" w:lastRowLastColumn="0"/>
          <w:trHeight w:val="128"/>
          <w:jc w:val="center"/>
        </w:trPr>
        <w:tc>
          <w:tcPr>
            <w:tcW w:w="7361" w:type="dxa"/>
            <w:noWrap/>
            <w:hideMark/>
          </w:tcPr>
          <w:p w14:paraId="22251149" w14:textId="77777777" w:rsidR="0060565E" w:rsidRPr="00950DFC" w:rsidRDefault="0060565E" w:rsidP="0060565E">
            <w:pPr>
              <w:spacing w:after="0" w:line="240" w:lineRule="auto"/>
              <w:ind w:left="888" w:hanging="567"/>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б) Сектор за издавање дозвола и сагласности учесницима на тржишту</w:t>
            </w:r>
          </w:p>
        </w:tc>
        <w:tc>
          <w:tcPr>
            <w:tcW w:w="1418" w:type="dxa"/>
            <w:noWrap/>
          </w:tcPr>
          <w:p w14:paraId="0314E6E1" w14:textId="77777777" w:rsidR="0060565E" w:rsidRPr="0060565E" w:rsidRDefault="0060565E" w:rsidP="0060565E">
            <w:pPr>
              <w:pStyle w:val="Table"/>
              <w:tabs>
                <w:tab w:val="decimal" w:pos="744"/>
              </w:tabs>
              <w:ind w:right="44"/>
              <w:jc w:val="left"/>
            </w:pPr>
            <w:r w:rsidRPr="00A11A5D">
              <w:t>72</w:t>
            </w:r>
          </w:p>
        </w:tc>
      </w:tr>
      <w:tr w:rsidR="0060565E" w:rsidRPr="00950DFC" w14:paraId="1EB1A7ED"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510AB02A" w14:textId="77777777" w:rsidR="0060565E" w:rsidRPr="00950DFC" w:rsidRDefault="0060565E" w:rsidP="0060565E">
            <w:pPr>
              <w:spacing w:after="0" w:line="240" w:lineRule="auto"/>
              <w:ind w:left="746" w:hanging="425"/>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в) Сектор за надзор</w:t>
            </w:r>
          </w:p>
        </w:tc>
        <w:tc>
          <w:tcPr>
            <w:tcW w:w="1418" w:type="dxa"/>
            <w:noWrap/>
          </w:tcPr>
          <w:p w14:paraId="22151ACB" w14:textId="77777777" w:rsidR="0060565E" w:rsidRPr="0060565E" w:rsidRDefault="0060565E" w:rsidP="0060565E">
            <w:pPr>
              <w:pStyle w:val="Table"/>
              <w:tabs>
                <w:tab w:val="decimal" w:pos="744"/>
              </w:tabs>
              <w:ind w:right="44"/>
              <w:jc w:val="left"/>
            </w:pPr>
            <w:r w:rsidRPr="00A11A5D">
              <w:t>4</w:t>
            </w:r>
          </w:p>
        </w:tc>
      </w:tr>
      <w:tr w:rsidR="0060565E" w:rsidRPr="00950DFC" w14:paraId="6E678726" w14:textId="77777777" w:rsidTr="00FC63D2">
        <w:trPr>
          <w:cnfStyle w:val="000000100000" w:firstRow="0" w:lastRow="0" w:firstColumn="0" w:lastColumn="0" w:oddVBand="0" w:evenVBand="0" w:oddHBand="1" w:evenHBand="0" w:firstRowFirstColumn="0" w:firstRowLastColumn="0" w:lastRowFirstColumn="0" w:lastRowLastColumn="0"/>
          <w:trHeight w:val="62"/>
          <w:jc w:val="center"/>
        </w:trPr>
        <w:tc>
          <w:tcPr>
            <w:tcW w:w="7361" w:type="dxa"/>
            <w:noWrap/>
            <w:hideMark/>
          </w:tcPr>
          <w:p w14:paraId="20840232"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Закључци</w:t>
            </w:r>
          </w:p>
        </w:tc>
        <w:tc>
          <w:tcPr>
            <w:tcW w:w="1418" w:type="dxa"/>
            <w:noWrap/>
          </w:tcPr>
          <w:p w14:paraId="0354FC81" w14:textId="77777777" w:rsidR="0060565E" w:rsidRPr="0060565E" w:rsidRDefault="0060565E" w:rsidP="0060565E">
            <w:pPr>
              <w:pStyle w:val="Table"/>
              <w:tabs>
                <w:tab w:val="decimal" w:pos="744"/>
              </w:tabs>
              <w:ind w:right="44"/>
              <w:jc w:val="left"/>
            </w:pPr>
            <w:r w:rsidRPr="00A11A5D">
              <w:t>3</w:t>
            </w:r>
          </w:p>
        </w:tc>
      </w:tr>
      <w:tr w:rsidR="0060565E" w:rsidRPr="00950DFC" w14:paraId="00CA4DC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14B8B60B"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 xml:space="preserve">Дописи </w:t>
            </w:r>
          </w:p>
        </w:tc>
        <w:tc>
          <w:tcPr>
            <w:tcW w:w="1418" w:type="dxa"/>
            <w:noWrap/>
          </w:tcPr>
          <w:p w14:paraId="0D2C8A82" w14:textId="77777777" w:rsidR="0060565E" w:rsidRPr="0060565E" w:rsidRDefault="0060565E" w:rsidP="0060565E">
            <w:pPr>
              <w:pStyle w:val="Table"/>
              <w:tabs>
                <w:tab w:val="decimal" w:pos="744"/>
              </w:tabs>
              <w:ind w:right="44"/>
              <w:jc w:val="left"/>
            </w:pPr>
            <w:r w:rsidRPr="00A11A5D">
              <w:t>4</w:t>
            </w:r>
          </w:p>
        </w:tc>
      </w:tr>
      <w:tr w:rsidR="0060565E" w:rsidRPr="00950DFC" w14:paraId="5CE942BF" w14:textId="77777777" w:rsidTr="00FC63D2">
        <w:trPr>
          <w:cnfStyle w:val="000000100000" w:firstRow="0" w:lastRow="0" w:firstColumn="0" w:lastColumn="0" w:oddVBand="0" w:evenVBand="0" w:oddHBand="1" w:evenHBand="0" w:firstRowFirstColumn="0" w:firstRowLastColumn="0" w:lastRowFirstColumn="0" w:lastRowLastColumn="0"/>
          <w:trHeight w:val="228"/>
          <w:jc w:val="center"/>
        </w:trPr>
        <w:tc>
          <w:tcPr>
            <w:tcW w:w="7361" w:type="dxa"/>
            <w:noWrap/>
            <w:hideMark/>
          </w:tcPr>
          <w:p w14:paraId="6C16C01B"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Записници</w:t>
            </w:r>
          </w:p>
        </w:tc>
        <w:tc>
          <w:tcPr>
            <w:tcW w:w="1418" w:type="dxa"/>
            <w:noWrap/>
          </w:tcPr>
          <w:p w14:paraId="3FD4AC78" w14:textId="77777777" w:rsidR="0060565E" w:rsidRPr="0060565E" w:rsidRDefault="0060565E" w:rsidP="0060565E">
            <w:pPr>
              <w:pStyle w:val="Table"/>
              <w:tabs>
                <w:tab w:val="decimal" w:pos="744"/>
              </w:tabs>
              <w:ind w:right="44"/>
              <w:jc w:val="left"/>
            </w:pPr>
            <w:r w:rsidRPr="00A11A5D">
              <w:t>50</w:t>
            </w:r>
          </w:p>
        </w:tc>
      </w:tr>
      <w:tr w:rsidR="0060565E" w:rsidRPr="00950DFC" w14:paraId="3A6A231A" w14:textId="77777777" w:rsidTr="00FC63D2">
        <w:trPr>
          <w:cnfStyle w:val="000000010000" w:firstRow="0" w:lastRow="0" w:firstColumn="0" w:lastColumn="0" w:oddVBand="0" w:evenVBand="0" w:oddHBand="0" w:evenHBand="1" w:firstRowFirstColumn="0" w:firstRowLastColumn="0" w:lastRowFirstColumn="0" w:lastRowLastColumn="0"/>
          <w:trHeight w:val="48"/>
          <w:jc w:val="center"/>
        </w:trPr>
        <w:tc>
          <w:tcPr>
            <w:tcW w:w="7361" w:type="dxa"/>
            <w:noWrap/>
            <w:hideMark/>
          </w:tcPr>
          <w:p w14:paraId="7BB27A57"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Информације</w:t>
            </w:r>
          </w:p>
        </w:tc>
        <w:tc>
          <w:tcPr>
            <w:tcW w:w="1418" w:type="dxa"/>
            <w:noWrap/>
          </w:tcPr>
          <w:p w14:paraId="090C5D76" w14:textId="77777777" w:rsidR="0060565E" w:rsidRPr="0060565E" w:rsidRDefault="0060565E" w:rsidP="0060565E">
            <w:pPr>
              <w:pStyle w:val="Table"/>
              <w:tabs>
                <w:tab w:val="decimal" w:pos="744"/>
              </w:tabs>
              <w:ind w:right="44"/>
              <w:jc w:val="left"/>
            </w:pPr>
            <w:r w:rsidRPr="00A11A5D">
              <w:t>16</w:t>
            </w:r>
          </w:p>
        </w:tc>
      </w:tr>
      <w:tr w:rsidR="0060565E" w:rsidRPr="00950DFC" w14:paraId="5ADA5E03" w14:textId="77777777" w:rsidTr="00FC63D2">
        <w:trPr>
          <w:cnfStyle w:val="000000100000" w:firstRow="0" w:lastRow="0" w:firstColumn="0" w:lastColumn="0" w:oddVBand="0" w:evenVBand="0" w:oddHBand="1" w:evenHBand="0" w:firstRowFirstColumn="0" w:firstRowLastColumn="0" w:lastRowFirstColumn="0" w:lastRowLastColumn="0"/>
          <w:trHeight w:val="152"/>
          <w:jc w:val="center"/>
        </w:trPr>
        <w:tc>
          <w:tcPr>
            <w:tcW w:w="7361" w:type="dxa"/>
            <w:noWrap/>
            <w:hideMark/>
          </w:tcPr>
          <w:p w14:paraId="14D16EDF"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Извјештаји</w:t>
            </w:r>
          </w:p>
        </w:tc>
        <w:tc>
          <w:tcPr>
            <w:tcW w:w="1418" w:type="dxa"/>
            <w:noWrap/>
          </w:tcPr>
          <w:p w14:paraId="41970CFF" w14:textId="77777777" w:rsidR="0060565E" w:rsidRPr="0060565E" w:rsidRDefault="0060565E" w:rsidP="0060565E">
            <w:pPr>
              <w:pStyle w:val="Table"/>
              <w:tabs>
                <w:tab w:val="decimal" w:pos="744"/>
              </w:tabs>
              <w:ind w:right="44"/>
              <w:jc w:val="left"/>
            </w:pPr>
            <w:r w:rsidRPr="00A11A5D">
              <w:t>31</w:t>
            </w:r>
          </w:p>
        </w:tc>
      </w:tr>
      <w:tr w:rsidR="0060565E" w:rsidRPr="00950DFC" w14:paraId="653632D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06558EF5"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Захтјеви</w:t>
            </w:r>
          </w:p>
        </w:tc>
        <w:tc>
          <w:tcPr>
            <w:tcW w:w="1418" w:type="dxa"/>
            <w:noWrap/>
          </w:tcPr>
          <w:p w14:paraId="1B59F5C4" w14:textId="77777777" w:rsidR="0060565E" w:rsidRPr="0060565E" w:rsidRDefault="0060565E" w:rsidP="0060565E">
            <w:pPr>
              <w:pStyle w:val="Table"/>
              <w:tabs>
                <w:tab w:val="decimal" w:pos="744"/>
              </w:tabs>
              <w:ind w:right="44"/>
              <w:jc w:val="left"/>
            </w:pPr>
            <w:r w:rsidRPr="00A11A5D">
              <w:t>1</w:t>
            </w:r>
          </w:p>
        </w:tc>
      </w:tr>
      <w:tr w:rsidR="0060565E" w:rsidRPr="00950DFC" w14:paraId="4C07E26D" w14:textId="77777777" w:rsidTr="00FC63D2">
        <w:trPr>
          <w:cnfStyle w:val="000000100000" w:firstRow="0" w:lastRow="0" w:firstColumn="0" w:lastColumn="0" w:oddVBand="0" w:evenVBand="0" w:oddHBand="1" w:evenHBand="0" w:firstRowFirstColumn="0" w:firstRowLastColumn="0" w:lastRowFirstColumn="0" w:lastRowLastColumn="0"/>
          <w:trHeight w:val="128"/>
          <w:jc w:val="center"/>
        </w:trPr>
        <w:tc>
          <w:tcPr>
            <w:tcW w:w="7361" w:type="dxa"/>
            <w:noWrap/>
            <w:hideMark/>
          </w:tcPr>
          <w:p w14:paraId="6B499615"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Интерни акти</w:t>
            </w:r>
          </w:p>
        </w:tc>
        <w:tc>
          <w:tcPr>
            <w:tcW w:w="1418" w:type="dxa"/>
            <w:noWrap/>
          </w:tcPr>
          <w:p w14:paraId="010F8903" w14:textId="77777777" w:rsidR="0060565E" w:rsidRPr="0060565E" w:rsidRDefault="0060565E" w:rsidP="0060565E">
            <w:pPr>
              <w:pStyle w:val="Table"/>
              <w:tabs>
                <w:tab w:val="decimal" w:pos="744"/>
              </w:tabs>
              <w:ind w:right="44"/>
              <w:jc w:val="left"/>
            </w:pPr>
            <w:r w:rsidRPr="00A11A5D">
              <w:t>1</w:t>
            </w:r>
          </w:p>
        </w:tc>
      </w:tr>
      <w:tr w:rsidR="0060565E" w:rsidRPr="00950DFC" w14:paraId="663AB0E8" w14:textId="77777777" w:rsidTr="00FC63D2">
        <w:trPr>
          <w:cnfStyle w:val="000000010000" w:firstRow="0" w:lastRow="0" w:firstColumn="0" w:lastColumn="0" w:oddVBand="0" w:evenVBand="0" w:oddHBand="0" w:evenHBand="1" w:firstRowFirstColumn="0" w:firstRowLastColumn="0" w:lastRowFirstColumn="0" w:lastRowLastColumn="0"/>
          <w:trHeight w:val="89"/>
          <w:jc w:val="center"/>
        </w:trPr>
        <w:tc>
          <w:tcPr>
            <w:tcW w:w="7361" w:type="dxa"/>
            <w:noWrap/>
            <w:hideMark/>
          </w:tcPr>
          <w:p w14:paraId="65863B20"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Иницијативе</w:t>
            </w:r>
          </w:p>
        </w:tc>
        <w:tc>
          <w:tcPr>
            <w:tcW w:w="1418" w:type="dxa"/>
            <w:noWrap/>
          </w:tcPr>
          <w:p w14:paraId="69972386" w14:textId="77777777" w:rsidR="0060565E" w:rsidRPr="0060565E" w:rsidRDefault="0060565E" w:rsidP="0060565E">
            <w:pPr>
              <w:pStyle w:val="Table"/>
              <w:tabs>
                <w:tab w:val="decimal" w:pos="744"/>
              </w:tabs>
              <w:ind w:right="44"/>
              <w:jc w:val="left"/>
            </w:pPr>
            <w:r w:rsidRPr="00A11A5D">
              <w:t>1</w:t>
            </w:r>
          </w:p>
        </w:tc>
      </w:tr>
      <w:tr w:rsidR="0060565E" w:rsidRPr="00950DFC" w14:paraId="4490FE18"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hideMark/>
          </w:tcPr>
          <w:p w14:paraId="74A19D54"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Увјерења</w:t>
            </w:r>
          </w:p>
        </w:tc>
        <w:tc>
          <w:tcPr>
            <w:tcW w:w="1418" w:type="dxa"/>
            <w:noWrap/>
          </w:tcPr>
          <w:p w14:paraId="771D92AD" w14:textId="77777777" w:rsidR="0060565E" w:rsidRPr="0060565E" w:rsidRDefault="0060565E" w:rsidP="0060565E">
            <w:pPr>
              <w:pStyle w:val="Table"/>
              <w:tabs>
                <w:tab w:val="decimal" w:pos="744"/>
              </w:tabs>
              <w:ind w:right="44"/>
              <w:jc w:val="left"/>
            </w:pPr>
            <w:r w:rsidRPr="00A11A5D">
              <w:t>2</w:t>
            </w:r>
          </w:p>
        </w:tc>
      </w:tr>
      <w:tr w:rsidR="0060565E" w:rsidRPr="00950DFC" w14:paraId="4E0713CE" w14:textId="77777777" w:rsidTr="00FC63D2">
        <w:trPr>
          <w:cnfStyle w:val="000000010000" w:firstRow="0" w:lastRow="0" w:firstColumn="0" w:lastColumn="0" w:oddVBand="0" w:evenVBand="0" w:oddHBand="0" w:evenHBand="1" w:firstRowFirstColumn="0" w:firstRowLastColumn="0" w:lastRowFirstColumn="0" w:lastRowLastColumn="0"/>
          <w:trHeight w:val="141"/>
          <w:jc w:val="center"/>
        </w:trPr>
        <w:tc>
          <w:tcPr>
            <w:tcW w:w="7361" w:type="dxa"/>
            <w:noWrap/>
            <w:hideMark/>
          </w:tcPr>
          <w:p w14:paraId="0970B351"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Одговори на упит</w:t>
            </w:r>
          </w:p>
        </w:tc>
        <w:tc>
          <w:tcPr>
            <w:tcW w:w="1418" w:type="dxa"/>
            <w:noWrap/>
          </w:tcPr>
          <w:p w14:paraId="439BE0AD" w14:textId="77777777" w:rsidR="0060565E" w:rsidRPr="0060565E" w:rsidRDefault="0060565E" w:rsidP="0060565E">
            <w:pPr>
              <w:pStyle w:val="Table"/>
              <w:tabs>
                <w:tab w:val="decimal" w:pos="744"/>
              </w:tabs>
              <w:ind w:right="44"/>
              <w:jc w:val="left"/>
            </w:pPr>
            <w:r w:rsidRPr="00A11A5D">
              <w:t>24</w:t>
            </w:r>
          </w:p>
        </w:tc>
      </w:tr>
      <w:tr w:rsidR="0060565E" w:rsidRPr="00950DFC" w14:paraId="567B89F1"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hideMark/>
          </w:tcPr>
          <w:p w14:paraId="008FA034"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Одговори на тужбу</w:t>
            </w:r>
          </w:p>
        </w:tc>
        <w:tc>
          <w:tcPr>
            <w:tcW w:w="1418" w:type="dxa"/>
            <w:noWrap/>
          </w:tcPr>
          <w:p w14:paraId="2101A09E" w14:textId="77777777" w:rsidR="0060565E" w:rsidRPr="0060565E" w:rsidRDefault="0060565E" w:rsidP="0060565E">
            <w:pPr>
              <w:pStyle w:val="Table"/>
              <w:tabs>
                <w:tab w:val="decimal" w:pos="744"/>
              </w:tabs>
              <w:ind w:right="44"/>
              <w:jc w:val="left"/>
            </w:pPr>
            <w:r w:rsidRPr="00A11A5D">
              <w:t>1</w:t>
            </w:r>
          </w:p>
        </w:tc>
      </w:tr>
      <w:tr w:rsidR="0060565E" w:rsidRPr="00950DFC" w14:paraId="6A3196A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5C67BEE6"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Одговори на жалбу</w:t>
            </w:r>
          </w:p>
        </w:tc>
        <w:tc>
          <w:tcPr>
            <w:tcW w:w="1418" w:type="dxa"/>
            <w:noWrap/>
          </w:tcPr>
          <w:p w14:paraId="131365B5" w14:textId="77777777" w:rsidR="0060565E" w:rsidRPr="0060565E" w:rsidRDefault="0060565E" w:rsidP="0060565E">
            <w:pPr>
              <w:pStyle w:val="Table"/>
              <w:tabs>
                <w:tab w:val="decimal" w:pos="744"/>
              </w:tabs>
              <w:ind w:right="44"/>
              <w:jc w:val="left"/>
            </w:pPr>
            <w:r w:rsidRPr="00A11A5D">
              <w:t>1</w:t>
            </w:r>
          </w:p>
        </w:tc>
      </w:tr>
      <w:tr w:rsidR="0060565E" w:rsidRPr="00950DFC" w14:paraId="0468FAA3"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0B6DBD4B"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Полугодишња информација</w:t>
            </w:r>
          </w:p>
        </w:tc>
        <w:tc>
          <w:tcPr>
            <w:tcW w:w="1418" w:type="dxa"/>
            <w:noWrap/>
          </w:tcPr>
          <w:p w14:paraId="0C03AF4E" w14:textId="77777777" w:rsidR="0060565E" w:rsidRPr="0060565E" w:rsidRDefault="0060565E" w:rsidP="0060565E">
            <w:pPr>
              <w:pStyle w:val="Table"/>
              <w:tabs>
                <w:tab w:val="decimal" w:pos="744"/>
              </w:tabs>
              <w:ind w:right="44"/>
              <w:jc w:val="left"/>
            </w:pPr>
            <w:r w:rsidRPr="00A11A5D">
              <w:t>1</w:t>
            </w:r>
          </w:p>
        </w:tc>
      </w:tr>
      <w:tr w:rsidR="0060565E" w:rsidRPr="00950DFC" w14:paraId="42B08801"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4A63F4A3"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Меморандуми, Билатерални споразуми</w:t>
            </w:r>
          </w:p>
        </w:tc>
        <w:tc>
          <w:tcPr>
            <w:tcW w:w="1418" w:type="dxa"/>
            <w:noWrap/>
          </w:tcPr>
          <w:p w14:paraId="77ACFE9B" w14:textId="77777777" w:rsidR="0060565E" w:rsidRPr="0060565E" w:rsidRDefault="0060565E" w:rsidP="0060565E">
            <w:pPr>
              <w:pStyle w:val="Table"/>
              <w:tabs>
                <w:tab w:val="decimal" w:pos="744"/>
              </w:tabs>
              <w:ind w:right="44"/>
              <w:jc w:val="left"/>
            </w:pPr>
            <w:r w:rsidRPr="00A11A5D">
              <w:t>1</w:t>
            </w:r>
          </w:p>
        </w:tc>
      </w:tr>
      <w:tr w:rsidR="0060565E" w:rsidRPr="00950DFC" w14:paraId="5014D453"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095E6668"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Програм рада</w:t>
            </w:r>
          </w:p>
        </w:tc>
        <w:tc>
          <w:tcPr>
            <w:tcW w:w="1418" w:type="dxa"/>
            <w:noWrap/>
          </w:tcPr>
          <w:p w14:paraId="058B67AC" w14:textId="77777777" w:rsidR="0060565E" w:rsidRPr="0060565E" w:rsidRDefault="0060565E" w:rsidP="0060565E">
            <w:pPr>
              <w:pStyle w:val="Table"/>
              <w:tabs>
                <w:tab w:val="decimal" w:pos="744"/>
              </w:tabs>
              <w:ind w:right="44"/>
              <w:jc w:val="left"/>
            </w:pPr>
            <w:r w:rsidRPr="00A11A5D">
              <w:t>1</w:t>
            </w:r>
          </w:p>
        </w:tc>
      </w:tr>
      <w:tr w:rsidR="0060565E" w:rsidRPr="00950DFC" w14:paraId="1C0A5765"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4A225FC0"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Упутства</w:t>
            </w:r>
          </w:p>
        </w:tc>
        <w:tc>
          <w:tcPr>
            <w:tcW w:w="1418" w:type="dxa"/>
            <w:noWrap/>
          </w:tcPr>
          <w:p w14:paraId="23C01C4C" w14:textId="77777777" w:rsidR="0060565E" w:rsidRPr="0060565E" w:rsidRDefault="0060565E" w:rsidP="0060565E">
            <w:pPr>
              <w:pStyle w:val="Table"/>
              <w:tabs>
                <w:tab w:val="decimal" w:pos="744"/>
              </w:tabs>
              <w:ind w:right="44"/>
              <w:jc w:val="left"/>
            </w:pPr>
            <w:r w:rsidRPr="00A11A5D">
              <w:t>1</w:t>
            </w:r>
          </w:p>
        </w:tc>
      </w:tr>
      <w:tr w:rsidR="0060565E" w:rsidRPr="00950DFC" w14:paraId="37B4A1FB"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53C7719E"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Обавјештења</w:t>
            </w:r>
          </w:p>
        </w:tc>
        <w:tc>
          <w:tcPr>
            <w:tcW w:w="1418" w:type="dxa"/>
            <w:noWrap/>
          </w:tcPr>
          <w:p w14:paraId="255E8F85" w14:textId="77777777" w:rsidR="0060565E" w:rsidRPr="0060565E" w:rsidRDefault="0060565E" w:rsidP="0060565E">
            <w:pPr>
              <w:pStyle w:val="Table"/>
              <w:tabs>
                <w:tab w:val="decimal" w:pos="744"/>
              </w:tabs>
              <w:ind w:right="44"/>
              <w:jc w:val="left"/>
            </w:pPr>
            <w:r w:rsidRPr="00A11A5D">
              <w:t>5</w:t>
            </w:r>
          </w:p>
        </w:tc>
      </w:tr>
      <w:tr w:rsidR="0060565E" w:rsidRPr="00950DFC" w14:paraId="6CBADF40"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27B6EAA9" w14:textId="77777777" w:rsidR="0060565E" w:rsidRPr="00950DFC" w:rsidRDefault="0060565E" w:rsidP="0060565E">
            <w:pPr>
              <w:numPr>
                <w:ilvl w:val="0"/>
                <w:numId w:val="16"/>
              </w:numPr>
              <w:spacing w:after="0" w:line="240" w:lineRule="auto"/>
              <w:ind w:left="318" w:hanging="318"/>
              <w:jc w:val="left"/>
              <w:rPr>
                <w:rFonts w:ascii="Times New Roman" w:eastAsia="Calibri" w:hAnsi="Times New Roman"/>
                <w:color w:val="000000"/>
                <w:sz w:val="22"/>
                <w:szCs w:val="22"/>
                <w:lang w:val="sr-Cyrl-BA"/>
              </w:rPr>
            </w:pPr>
            <w:r w:rsidRPr="002C2C78">
              <w:rPr>
                <w:rFonts w:ascii="Times New Roman" w:eastAsia="Calibri" w:hAnsi="Times New Roman"/>
                <w:color w:val="000000"/>
                <w:sz w:val="22"/>
                <w:szCs w:val="22"/>
                <w:lang w:val="sr-Cyrl-BA"/>
              </w:rPr>
              <w:t>Остало</w:t>
            </w:r>
          </w:p>
        </w:tc>
        <w:tc>
          <w:tcPr>
            <w:tcW w:w="1418" w:type="dxa"/>
            <w:noWrap/>
          </w:tcPr>
          <w:p w14:paraId="2F550C05" w14:textId="77777777" w:rsidR="0060565E" w:rsidRPr="0060565E" w:rsidRDefault="0060565E" w:rsidP="0060565E">
            <w:pPr>
              <w:pStyle w:val="Table"/>
              <w:tabs>
                <w:tab w:val="decimal" w:pos="744"/>
              </w:tabs>
              <w:ind w:right="44"/>
              <w:jc w:val="left"/>
            </w:pPr>
            <w:r w:rsidRPr="00A11A5D">
              <w:t>9</w:t>
            </w:r>
          </w:p>
        </w:tc>
      </w:tr>
      <w:tr w:rsidR="0060565E" w:rsidRPr="00950DFC" w14:paraId="05187B21" w14:textId="77777777" w:rsidTr="00FC63D2">
        <w:trPr>
          <w:cnfStyle w:val="010000000000" w:firstRow="0" w:lastRow="1" w:firstColumn="0" w:lastColumn="0" w:oddVBand="0" w:evenVBand="0" w:oddHBand="0" w:evenHBand="0" w:firstRowFirstColumn="0" w:firstRowLastColumn="0" w:lastRowFirstColumn="0" w:lastRowLastColumn="0"/>
          <w:trHeight w:val="21"/>
          <w:jc w:val="center"/>
        </w:trPr>
        <w:tc>
          <w:tcPr>
            <w:tcW w:w="7361" w:type="dxa"/>
            <w:noWrap/>
            <w:hideMark/>
          </w:tcPr>
          <w:p w14:paraId="5813865F" w14:textId="77777777" w:rsidR="0060565E" w:rsidRPr="00950DFC" w:rsidRDefault="0060565E" w:rsidP="0060565E">
            <w:pPr>
              <w:spacing w:after="0" w:line="240" w:lineRule="auto"/>
              <w:ind w:firstLine="30"/>
              <w:rPr>
                <w:rFonts w:ascii="Times New Roman" w:hAnsi="Times New Roman"/>
                <w:color w:val="000000"/>
                <w:lang w:val="sr-Cyrl-BA"/>
              </w:rPr>
            </w:pPr>
            <w:r w:rsidRPr="00950DFC">
              <w:rPr>
                <w:rFonts w:ascii="Times New Roman" w:hAnsi="Times New Roman"/>
                <w:color w:val="000000"/>
                <w:lang w:val="sr-Cyrl-BA"/>
              </w:rPr>
              <w:t>УКУПНО</w:t>
            </w:r>
          </w:p>
        </w:tc>
        <w:tc>
          <w:tcPr>
            <w:tcW w:w="1418" w:type="dxa"/>
            <w:noWrap/>
          </w:tcPr>
          <w:p w14:paraId="0016C88D" w14:textId="77777777" w:rsidR="0060565E" w:rsidRPr="0060565E" w:rsidRDefault="0060565E" w:rsidP="0060565E">
            <w:pPr>
              <w:pStyle w:val="Table"/>
              <w:tabs>
                <w:tab w:val="decimal" w:pos="744"/>
              </w:tabs>
              <w:ind w:right="44"/>
              <w:jc w:val="left"/>
              <w:rPr>
                <w:rFonts w:ascii="Times New Roman" w:hAnsi="Times New Roman"/>
                <w:color w:val="000000"/>
                <w:sz w:val="24"/>
                <w:szCs w:val="24"/>
                <w:lang w:val="sr-Latn-BA"/>
              </w:rPr>
            </w:pPr>
            <w:r w:rsidRPr="0060565E">
              <w:rPr>
                <w:rFonts w:ascii="Cambria" w:eastAsiaTheme="minorHAnsi" w:hAnsi="Cambria" w:cstheme="minorBidi"/>
              </w:rPr>
              <w:t>308</w:t>
            </w:r>
          </w:p>
        </w:tc>
      </w:tr>
    </w:tbl>
    <w:p w14:paraId="1E9C9042" w14:textId="02B9A909" w:rsidR="009628CE" w:rsidRPr="00EC6422" w:rsidRDefault="009628CE" w:rsidP="006B6E0C">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2</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 xml:space="preserve">Структура и број донесених аката у </w:t>
      </w:r>
      <w:r w:rsidR="000F3F68">
        <w:rPr>
          <w:rFonts w:ascii="Times New Roman" w:hAnsi="Times New Roman"/>
          <w:b w:val="0"/>
          <w:sz w:val="24"/>
          <w:szCs w:val="24"/>
          <w:lang w:val="sr-Latn-BA"/>
        </w:rPr>
        <w:t>202</w:t>
      </w:r>
      <w:r w:rsidR="0060565E">
        <w:rPr>
          <w:rFonts w:ascii="Times New Roman" w:hAnsi="Times New Roman"/>
          <w:b w:val="0"/>
          <w:sz w:val="24"/>
          <w:szCs w:val="24"/>
          <w:lang w:val="sr-Cyrl-BA"/>
        </w:rPr>
        <w:t>3</w:t>
      </w:r>
      <w:r w:rsidRPr="00EC6422">
        <w:rPr>
          <w:rFonts w:ascii="Times New Roman" w:hAnsi="Times New Roman"/>
          <w:b w:val="0"/>
          <w:sz w:val="24"/>
          <w:szCs w:val="24"/>
          <w:lang w:val="sr-Cyrl-BA"/>
        </w:rPr>
        <w:t>. години из надлежности Комисије</w:t>
      </w:r>
    </w:p>
    <w:p w14:paraId="6D862340" w14:textId="7EA8CCA2" w:rsidR="00022543" w:rsidRPr="00022543" w:rsidRDefault="0060565E" w:rsidP="006B6E0C">
      <w:pPr>
        <w:spacing w:line="240" w:lineRule="auto"/>
        <w:rPr>
          <w:lang w:val="sr-Latn-BA" w:eastAsia="sr-Latn-CS"/>
        </w:rPr>
      </w:pPr>
      <w:bookmarkStart w:id="32" w:name="_Toc194970109"/>
      <w:bookmarkStart w:id="33" w:name="_Toc194970162"/>
      <w:bookmarkStart w:id="34" w:name="_Toc321408913"/>
      <w:r w:rsidRPr="00A407CA">
        <w:rPr>
          <w:lang w:val="sr-Cyrl-BA" w:eastAsia="sr-Latn-CS"/>
        </w:rPr>
        <w:t xml:space="preserve">Из приказаних табела видљиво је да је у току </w:t>
      </w:r>
      <w:r>
        <w:rPr>
          <w:lang w:val="sr-Latn-BA" w:eastAsia="sr-Latn-CS"/>
        </w:rPr>
        <w:t>2023</w:t>
      </w:r>
      <w:r w:rsidRPr="00A407CA">
        <w:rPr>
          <w:lang w:val="sr-Cyrl-BA" w:eastAsia="sr-Latn-CS"/>
        </w:rPr>
        <w:t>. године одржан</w:t>
      </w:r>
      <w:r>
        <w:rPr>
          <w:lang w:eastAsia="sr-Latn-CS"/>
        </w:rPr>
        <w:t>o</w:t>
      </w:r>
      <w:r w:rsidRPr="00A407CA">
        <w:rPr>
          <w:lang w:val="sr-Cyrl-BA" w:eastAsia="sr-Latn-CS"/>
        </w:rPr>
        <w:t xml:space="preserve"> 5</w:t>
      </w:r>
      <w:r>
        <w:rPr>
          <w:lang w:eastAsia="sr-Latn-CS"/>
        </w:rPr>
        <w:t>0</w:t>
      </w:r>
      <w:r w:rsidRPr="00A407CA">
        <w:rPr>
          <w:lang w:val="sr-Cyrl-BA" w:eastAsia="sr-Latn-CS"/>
        </w:rPr>
        <w:t xml:space="preserve"> </w:t>
      </w:r>
      <w:proofErr w:type="spellStart"/>
      <w:r w:rsidRPr="00A407CA">
        <w:rPr>
          <w:lang w:val="sr-Cyrl-BA" w:eastAsia="sr-Latn-CS"/>
        </w:rPr>
        <w:t>сједницa</w:t>
      </w:r>
      <w:proofErr w:type="spellEnd"/>
      <w:r w:rsidRPr="00A407CA">
        <w:rPr>
          <w:lang w:val="sr-Cyrl-BA" w:eastAsia="sr-Latn-CS"/>
        </w:rPr>
        <w:t xml:space="preserve"> на којима је донесено </w:t>
      </w:r>
      <w:r>
        <w:rPr>
          <w:lang w:eastAsia="sr-Latn-CS"/>
        </w:rPr>
        <w:t>308</w:t>
      </w:r>
      <w:r w:rsidRPr="00A407CA">
        <w:rPr>
          <w:lang w:val="sr-Cyrl-BA" w:eastAsia="sr-Latn-CS"/>
        </w:rPr>
        <w:t xml:space="preserve"> аката. Такође је важно истакнути </w:t>
      </w:r>
      <w:r>
        <w:rPr>
          <w:lang w:val="sr-Cyrl-BA" w:eastAsia="sr-Latn-CS"/>
        </w:rPr>
        <w:t>да</w:t>
      </w:r>
      <w:r w:rsidRPr="00A407CA">
        <w:rPr>
          <w:lang w:val="sr-Cyrl-BA" w:eastAsia="sr-Latn-CS"/>
        </w:rPr>
        <w:t xml:space="preserve"> </w:t>
      </w:r>
      <w:r>
        <w:rPr>
          <w:lang w:val="sr-Cyrl-BA" w:eastAsia="sr-Latn-CS"/>
        </w:rPr>
        <w:t>податак о 129</w:t>
      </w:r>
      <w:r w:rsidRPr="00A407CA">
        <w:rPr>
          <w:lang w:val="sr-Cyrl-BA" w:eastAsia="sr-Latn-CS"/>
        </w:rPr>
        <w:t xml:space="preserve"> донесених рјешења</w:t>
      </w:r>
      <w:r>
        <w:rPr>
          <w:lang w:val="sr-Cyrl-BA" w:eastAsia="sr-Latn-CS"/>
        </w:rPr>
        <w:t xml:space="preserve"> </w:t>
      </w:r>
      <w:r w:rsidRPr="00A407CA">
        <w:rPr>
          <w:lang w:val="sr-Cyrl-BA" w:eastAsia="sr-Latn-CS"/>
        </w:rPr>
        <w:t>указује на висок степен активности Комисије о питању рјешавања појединачних случајева из области издавања дозвола и сагласности учесницима на тржишту</w:t>
      </w:r>
      <w:r w:rsidRPr="00A407CA">
        <w:rPr>
          <w:lang w:val="sr-Latn-BA" w:eastAsia="sr-Latn-CS"/>
        </w:rPr>
        <w:t>,</w:t>
      </w:r>
      <w:r w:rsidRPr="00A407CA">
        <w:rPr>
          <w:lang w:val="sr-Cyrl-BA" w:eastAsia="sr-Latn-CS"/>
        </w:rPr>
        <w:t xml:space="preserve"> емисије хартија од вриједности и надзора</w:t>
      </w:r>
      <w:r w:rsidR="00022543">
        <w:rPr>
          <w:lang w:val="sr-Cyrl-BA" w:eastAsia="sr-Latn-CS"/>
        </w:rPr>
        <w:t>.</w:t>
      </w:r>
    </w:p>
    <w:p w14:paraId="7A779E35" w14:textId="77777777" w:rsidR="00523120" w:rsidRPr="00EC6422" w:rsidRDefault="00523120" w:rsidP="006B6E0C">
      <w:pPr>
        <w:spacing w:line="240" w:lineRule="auto"/>
        <w:rPr>
          <w:lang w:val="sr-Cyrl-BA" w:eastAsia="sr-Latn-CS"/>
        </w:rPr>
      </w:pPr>
    </w:p>
    <w:p w14:paraId="7D81481C"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35" w:name="_Toc167960424"/>
      <w:r w:rsidRPr="00EC6422">
        <w:rPr>
          <w:rFonts w:ascii="Times New Roman" w:hAnsi="Times New Roman"/>
          <w:sz w:val="24"/>
          <w:lang w:val="sr-Cyrl-BA"/>
        </w:rPr>
        <w:lastRenderedPageBreak/>
        <w:t xml:space="preserve">Регистри и евиденције </w:t>
      </w:r>
      <w:bookmarkEnd w:id="32"/>
      <w:bookmarkEnd w:id="33"/>
      <w:bookmarkEnd w:id="34"/>
      <w:r w:rsidR="00E51166" w:rsidRPr="00EC6422">
        <w:rPr>
          <w:rFonts w:ascii="Times New Roman" w:hAnsi="Times New Roman"/>
          <w:sz w:val="24"/>
          <w:lang w:val="sr-Cyrl-BA"/>
        </w:rPr>
        <w:t>Комисије</w:t>
      </w:r>
      <w:bookmarkEnd w:id="35"/>
    </w:p>
    <w:p w14:paraId="63B8617E" w14:textId="77777777" w:rsidR="009628CE" w:rsidRPr="00EC6422" w:rsidRDefault="009628CE" w:rsidP="006B6E0C">
      <w:pPr>
        <w:spacing w:after="0" w:line="240" w:lineRule="auto"/>
        <w:ind w:firstLine="567"/>
        <w:rPr>
          <w:lang w:val="sr-Cyrl-BA"/>
        </w:rPr>
      </w:pPr>
      <w:r w:rsidRPr="00EC6422">
        <w:rPr>
          <w:lang w:val="sr-Cyrl-BA"/>
        </w:rPr>
        <w:t xml:space="preserve">Комисија води </w:t>
      </w:r>
      <w:r w:rsidR="00552C7C" w:rsidRPr="00EC6422">
        <w:rPr>
          <w:lang w:val="sr-Cyrl-BA"/>
        </w:rPr>
        <w:t xml:space="preserve">одговарајуће </w:t>
      </w:r>
      <w:r w:rsidRPr="00EC6422">
        <w:rPr>
          <w:lang w:val="sr-Cyrl-BA"/>
        </w:rPr>
        <w:t>регистре учесника на тржишт</w:t>
      </w:r>
      <w:r w:rsidR="00552C7C" w:rsidRPr="00EC6422">
        <w:rPr>
          <w:lang w:val="sr-Cyrl-BA"/>
        </w:rPr>
        <w:t>у, и то</w:t>
      </w:r>
      <w:r w:rsidRPr="00EC6422">
        <w:rPr>
          <w:lang w:val="sr-Cyrl-BA"/>
        </w:rPr>
        <w:t>:</w:t>
      </w:r>
    </w:p>
    <w:p w14:paraId="3380FA69" w14:textId="77777777" w:rsidR="009628CE" w:rsidRPr="00EC6422" w:rsidRDefault="00E51166" w:rsidP="006B6E0C">
      <w:pPr>
        <w:pStyle w:val="ListParagraph"/>
        <w:numPr>
          <w:ilvl w:val="0"/>
          <w:numId w:val="1"/>
        </w:numPr>
        <w:spacing w:before="0" w:after="0" w:line="240" w:lineRule="auto"/>
        <w:contextualSpacing w:val="0"/>
        <w:rPr>
          <w:lang w:val="sr-Cyrl-BA"/>
        </w:rPr>
      </w:pPr>
      <w:r w:rsidRPr="00EC6422">
        <w:rPr>
          <w:lang w:val="sr-Cyrl-BA"/>
        </w:rPr>
        <w:t xml:space="preserve">Регистар </w:t>
      </w:r>
      <w:proofErr w:type="spellStart"/>
      <w:r w:rsidRPr="00EC6422">
        <w:rPr>
          <w:lang w:val="sr-Cyrl-BA"/>
        </w:rPr>
        <w:t>емитената</w:t>
      </w:r>
      <w:proofErr w:type="spellEnd"/>
      <w:r w:rsidRPr="00EC6422">
        <w:rPr>
          <w:lang w:val="sr-Cyrl-BA"/>
        </w:rPr>
        <w:t>,</w:t>
      </w:r>
    </w:p>
    <w:p w14:paraId="76136D9A" w14:textId="77777777" w:rsidR="009628CE" w:rsidRPr="00EC6422" w:rsidRDefault="009628CE" w:rsidP="006B6E0C">
      <w:pPr>
        <w:pStyle w:val="ListParagraph"/>
        <w:numPr>
          <w:ilvl w:val="0"/>
          <w:numId w:val="1"/>
        </w:numPr>
        <w:spacing w:before="0" w:after="0" w:line="240" w:lineRule="auto"/>
        <w:contextualSpacing w:val="0"/>
        <w:rPr>
          <w:lang w:val="sr-Cyrl-BA"/>
        </w:rPr>
      </w:pPr>
      <w:r w:rsidRPr="00EC6422">
        <w:rPr>
          <w:lang w:val="sr-Cyrl-BA"/>
        </w:rPr>
        <w:t>Регистар квалификованих инвеститора,</w:t>
      </w:r>
    </w:p>
    <w:p w14:paraId="62609684" w14:textId="77777777" w:rsidR="009628CE" w:rsidRPr="00EC6422" w:rsidRDefault="009628CE" w:rsidP="006B6E0C">
      <w:pPr>
        <w:pStyle w:val="ListParagraph"/>
        <w:numPr>
          <w:ilvl w:val="0"/>
          <w:numId w:val="1"/>
        </w:numPr>
        <w:spacing w:before="0" w:after="0" w:line="240" w:lineRule="auto"/>
        <w:contextualSpacing w:val="0"/>
        <w:rPr>
          <w:lang w:val="sr-Cyrl-BA"/>
        </w:rPr>
      </w:pPr>
      <w:r w:rsidRPr="00EC6422">
        <w:rPr>
          <w:lang w:val="sr-Cyrl-BA"/>
        </w:rPr>
        <w:t>Регистар инвестиционих фондова и друштава за управљање,</w:t>
      </w:r>
    </w:p>
    <w:p w14:paraId="2E7B439C" w14:textId="563EF9EE" w:rsidR="009628CE" w:rsidRDefault="009628CE" w:rsidP="006B6E0C">
      <w:pPr>
        <w:pStyle w:val="ListParagraph"/>
        <w:numPr>
          <w:ilvl w:val="0"/>
          <w:numId w:val="1"/>
        </w:numPr>
        <w:spacing w:before="0" w:after="0" w:line="240" w:lineRule="auto"/>
        <w:contextualSpacing w:val="0"/>
        <w:rPr>
          <w:lang w:val="sr-Cyrl-BA"/>
        </w:rPr>
      </w:pPr>
      <w:r w:rsidRPr="00EC6422">
        <w:rPr>
          <w:lang w:val="sr-Cyrl-BA"/>
        </w:rPr>
        <w:t xml:space="preserve">Регистар овлашћених учесника, односно берзанских посредника, </w:t>
      </w:r>
      <w:proofErr w:type="spellStart"/>
      <w:r w:rsidRPr="00EC6422">
        <w:rPr>
          <w:lang w:val="sr-Cyrl-BA"/>
        </w:rPr>
        <w:t>кастоди</w:t>
      </w:r>
      <w:proofErr w:type="spellEnd"/>
      <w:r w:rsidRPr="00EC6422">
        <w:rPr>
          <w:lang w:val="sr-Cyrl-BA"/>
        </w:rPr>
        <w:t xml:space="preserve"> банака, брокера, инвестиционих савјетника и инвестиционих менаџера.</w:t>
      </w:r>
    </w:p>
    <w:p w14:paraId="49070823" w14:textId="3CC9C090" w:rsidR="0066171A" w:rsidRPr="002006B3" w:rsidRDefault="0066171A" w:rsidP="006B6E0C">
      <w:pPr>
        <w:pStyle w:val="ListParagraph"/>
        <w:numPr>
          <w:ilvl w:val="0"/>
          <w:numId w:val="1"/>
        </w:numPr>
        <w:spacing w:before="0" w:after="0" w:line="240" w:lineRule="auto"/>
        <w:contextualSpacing w:val="0"/>
        <w:rPr>
          <w:lang w:val="sr-Cyrl-BA"/>
        </w:rPr>
      </w:pPr>
      <w:r w:rsidRPr="002006B3">
        <w:rPr>
          <w:lang w:val="sr-Cyrl-BA"/>
        </w:rPr>
        <w:t xml:space="preserve">Регистар друштава за </w:t>
      </w:r>
      <w:proofErr w:type="spellStart"/>
      <w:r w:rsidRPr="002006B3">
        <w:rPr>
          <w:lang w:val="sr-Cyrl-BA"/>
        </w:rPr>
        <w:t>факторинг</w:t>
      </w:r>
      <w:proofErr w:type="spellEnd"/>
      <w:r w:rsidRPr="002006B3">
        <w:rPr>
          <w:lang w:val="sr-Cyrl-BA"/>
        </w:rPr>
        <w:t>.</w:t>
      </w:r>
    </w:p>
    <w:p w14:paraId="49DD829A" w14:textId="22ED3B6A" w:rsidR="009628CE" w:rsidRDefault="009628CE" w:rsidP="006B6E0C">
      <w:pPr>
        <w:spacing w:line="240" w:lineRule="auto"/>
        <w:ind w:firstLine="567"/>
        <w:rPr>
          <w:lang w:val="sr-Cyrl-BA"/>
        </w:rPr>
      </w:pPr>
      <w:r w:rsidRPr="00EC6422">
        <w:rPr>
          <w:lang w:val="sr-Cyrl-BA"/>
        </w:rPr>
        <w:t>Уписи у регистре врше се на основу ријешених захтјева, као и обавјештења која су учесници обавезни да благовремено достављају Комисији.</w:t>
      </w:r>
    </w:p>
    <w:tbl>
      <w:tblPr>
        <w:tblStyle w:val="LightGrid-Accent11"/>
        <w:tblW w:w="4948" w:type="pct"/>
        <w:tblInd w:w="-10" w:type="dxa"/>
        <w:tblLayout w:type="fixed"/>
        <w:tblLook w:val="0420" w:firstRow="1" w:lastRow="0" w:firstColumn="0" w:lastColumn="0" w:noHBand="0" w:noVBand="1"/>
      </w:tblPr>
      <w:tblGrid>
        <w:gridCol w:w="6979"/>
        <w:gridCol w:w="937"/>
        <w:gridCol w:w="1274"/>
      </w:tblGrid>
      <w:tr w:rsidR="00AF7B11" w:rsidRPr="001E1291" w14:paraId="2F733D04" w14:textId="77777777" w:rsidTr="009F2A58">
        <w:trPr>
          <w:cnfStyle w:val="100000000000" w:firstRow="1" w:lastRow="0" w:firstColumn="0" w:lastColumn="0" w:oddVBand="0" w:evenVBand="0" w:oddHBand="0" w:evenHBand="0" w:firstRowFirstColumn="0" w:firstRowLastColumn="0" w:lastRowFirstColumn="0" w:lastRowLastColumn="0"/>
        </w:trPr>
        <w:tc>
          <w:tcPr>
            <w:tcW w:w="3797" w:type="pct"/>
            <w:vMerge w:val="restart"/>
            <w:vAlign w:val="center"/>
          </w:tcPr>
          <w:p w14:paraId="6898470E" w14:textId="77777777" w:rsidR="00AF7B11" w:rsidRPr="001E1291" w:rsidRDefault="00AF7B11" w:rsidP="009F2A58">
            <w:pPr>
              <w:pStyle w:val="Table"/>
              <w:rPr>
                <w:rFonts w:ascii="Times New Roman" w:hAnsi="Times New Roman"/>
                <w:b w:val="0"/>
                <w:color w:val="002060"/>
                <w:lang w:val="sr-Cyrl-BA"/>
              </w:rPr>
            </w:pPr>
            <w:bookmarkStart w:id="36" w:name="_Hlk133233685"/>
            <w:r w:rsidRPr="001E1291">
              <w:rPr>
                <w:rFonts w:ascii="Times New Roman" w:hAnsi="Times New Roman"/>
                <w:color w:val="002060"/>
                <w:lang w:val="sr-Cyrl-BA"/>
              </w:rPr>
              <w:t>Назив регистра</w:t>
            </w:r>
          </w:p>
        </w:tc>
        <w:tc>
          <w:tcPr>
            <w:tcW w:w="1203" w:type="pct"/>
            <w:gridSpan w:val="2"/>
            <w:tcBorders>
              <w:bottom w:val="single" w:sz="2" w:space="0" w:color="4F81BD" w:themeColor="accent1"/>
            </w:tcBorders>
          </w:tcPr>
          <w:p w14:paraId="34EAD17B" w14:textId="77777777" w:rsidR="00AF7B11" w:rsidRPr="001E1291" w:rsidRDefault="00AF7B11" w:rsidP="009F2A58">
            <w:pPr>
              <w:pStyle w:val="Table"/>
              <w:jc w:val="center"/>
              <w:rPr>
                <w:rFonts w:ascii="Times New Roman" w:hAnsi="Times New Roman"/>
                <w:b w:val="0"/>
                <w:color w:val="002060"/>
                <w:lang w:val="sr-Cyrl-BA"/>
              </w:rPr>
            </w:pPr>
            <w:r w:rsidRPr="001E1291">
              <w:rPr>
                <w:rFonts w:ascii="Times New Roman" w:hAnsi="Times New Roman"/>
                <w:color w:val="002060"/>
                <w:lang w:val="sr-Cyrl-BA"/>
              </w:rPr>
              <w:t>Број уписа</w:t>
            </w:r>
          </w:p>
        </w:tc>
      </w:tr>
      <w:tr w:rsidR="00AF7B11" w:rsidRPr="001E1291" w14:paraId="5282EBDE"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vMerge/>
            <w:tcBorders>
              <w:bottom w:val="single" w:sz="18" w:space="0" w:color="4F81BD" w:themeColor="accent1"/>
            </w:tcBorders>
          </w:tcPr>
          <w:p w14:paraId="72F89A6B" w14:textId="77777777" w:rsidR="00AF7B11" w:rsidRPr="004861A7" w:rsidRDefault="00AF7B11" w:rsidP="009F2A58">
            <w:pPr>
              <w:pStyle w:val="Table"/>
              <w:jc w:val="center"/>
              <w:rPr>
                <w:rFonts w:ascii="Times New Roman" w:hAnsi="Times New Roman"/>
                <w:color w:val="002060"/>
                <w:highlight w:val="yellow"/>
                <w:lang w:val="sr-Cyrl-BA"/>
              </w:rPr>
            </w:pPr>
          </w:p>
        </w:tc>
        <w:tc>
          <w:tcPr>
            <w:tcW w:w="510" w:type="pct"/>
            <w:tcBorders>
              <w:top w:val="single" w:sz="2" w:space="0" w:color="4F81BD" w:themeColor="accent1"/>
              <w:bottom w:val="single" w:sz="18" w:space="0" w:color="4F81BD" w:themeColor="accent1"/>
            </w:tcBorders>
            <w:shd w:val="clear" w:color="auto" w:fill="auto"/>
          </w:tcPr>
          <w:p w14:paraId="4648DE27" w14:textId="77777777" w:rsidR="00AF7B11" w:rsidRPr="001E1291" w:rsidRDefault="00AF7B11" w:rsidP="009F2A58">
            <w:pPr>
              <w:pStyle w:val="Table"/>
              <w:jc w:val="center"/>
              <w:rPr>
                <w:rFonts w:ascii="Times New Roman" w:hAnsi="Times New Roman"/>
                <w:b/>
                <w:bCs/>
                <w:color w:val="002060"/>
                <w:lang w:val="sr-Cyrl-BA"/>
              </w:rPr>
            </w:pPr>
            <w:r>
              <w:rPr>
                <w:rFonts w:ascii="Times New Roman" w:hAnsi="Times New Roman"/>
                <w:b/>
                <w:bCs/>
                <w:color w:val="002060"/>
                <w:lang w:val="sr-Cyrl-BA"/>
              </w:rPr>
              <w:t>20</w:t>
            </w:r>
            <w:r>
              <w:rPr>
                <w:rFonts w:ascii="Times New Roman" w:hAnsi="Times New Roman"/>
                <w:b/>
                <w:bCs/>
                <w:color w:val="002060"/>
                <w:lang w:val="sr-Latn-BA"/>
              </w:rPr>
              <w:t>2</w:t>
            </w:r>
            <w:r>
              <w:rPr>
                <w:rFonts w:ascii="Times New Roman" w:hAnsi="Times New Roman"/>
                <w:b/>
                <w:bCs/>
                <w:color w:val="002060"/>
                <w:lang w:val="sr-Cyrl-BA"/>
              </w:rPr>
              <w:t>3</w:t>
            </w:r>
            <w:r w:rsidRPr="001E1291">
              <w:rPr>
                <w:rFonts w:ascii="Times New Roman" w:hAnsi="Times New Roman"/>
                <w:b/>
                <w:bCs/>
                <w:color w:val="002060"/>
                <w:lang w:val="sr-Cyrl-BA"/>
              </w:rPr>
              <w:t>.</w:t>
            </w:r>
          </w:p>
        </w:tc>
        <w:tc>
          <w:tcPr>
            <w:tcW w:w="693" w:type="pct"/>
            <w:tcBorders>
              <w:top w:val="single" w:sz="2" w:space="0" w:color="4F81BD" w:themeColor="accent1"/>
              <w:bottom w:val="single" w:sz="18" w:space="0" w:color="4F81BD" w:themeColor="accent1"/>
            </w:tcBorders>
            <w:shd w:val="clear" w:color="auto" w:fill="auto"/>
            <w:vAlign w:val="center"/>
          </w:tcPr>
          <w:p w14:paraId="747F4B91" w14:textId="4C6CAA96" w:rsidR="00AF7B11" w:rsidRPr="001E1291" w:rsidRDefault="00AF7B11" w:rsidP="009F2A58">
            <w:pPr>
              <w:pStyle w:val="Table"/>
              <w:jc w:val="center"/>
              <w:rPr>
                <w:rFonts w:ascii="Times New Roman" w:hAnsi="Times New Roman"/>
                <w:b/>
                <w:bCs/>
                <w:color w:val="002060"/>
                <w:lang w:val="sr-Cyrl-BA"/>
              </w:rPr>
            </w:pPr>
            <w:r w:rsidRPr="001E1291">
              <w:rPr>
                <w:rFonts w:ascii="Times New Roman" w:hAnsi="Times New Roman"/>
                <w:b/>
                <w:bCs/>
                <w:color w:val="002060"/>
                <w:lang w:val="sr-Cyrl-BA"/>
              </w:rPr>
              <w:t xml:space="preserve">2001 - </w:t>
            </w:r>
            <w:r>
              <w:rPr>
                <w:rFonts w:ascii="Times New Roman" w:hAnsi="Times New Roman"/>
                <w:b/>
                <w:bCs/>
                <w:color w:val="002060"/>
                <w:lang w:val="sr-Cyrl-BA"/>
              </w:rPr>
              <w:t>20</w:t>
            </w:r>
            <w:r>
              <w:rPr>
                <w:rFonts w:ascii="Times New Roman" w:hAnsi="Times New Roman"/>
                <w:b/>
                <w:bCs/>
                <w:color w:val="002060"/>
                <w:lang w:val="sr-Latn-BA"/>
              </w:rPr>
              <w:t>2</w:t>
            </w:r>
            <w:r w:rsidR="002C66E2">
              <w:rPr>
                <w:rFonts w:ascii="Times New Roman" w:hAnsi="Times New Roman"/>
                <w:b/>
                <w:bCs/>
                <w:color w:val="002060"/>
                <w:lang w:val="sr-Latn-BA"/>
              </w:rPr>
              <w:t>3</w:t>
            </w:r>
            <w:r w:rsidRPr="001E1291">
              <w:rPr>
                <w:rFonts w:ascii="Times New Roman" w:hAnsi="Times New Roman"/>
                <w:b/>
                <w:bCs/>
                <w:color w:val="002060"/>
                <w:lang w:val="sr-Cyrl-BA"/>
              </w:rPr>
              <w:t>.</w:t>
            </w:r>
          </w:p>
        </w:tc>
      </w:tr>
      <w:tr w:rsidR="00AF7B11" w:rsidRPr="003A1210" w14:paraId="1CEE8464" w14:textId="77777777" w:rsidTr="009F2A58">
        <w:trPr>
          <w:cnfStyle w:val="000000010000" w:firstRow="0" w:lastRow="0" w:firstColumn="0" w:lastColumn="0" w:oddVBand="0" w:evenVBand="0" w:oddHBand="0" w:evenHBand="1" w:firstRowFirstColumn="0" w:firstRowLastColumn="0" w:lastRowFirstColumn="0" w:lastRowLastColumn="0"/>
          <w:trHeight w:val="223"/>
        </w:trPr>
        <w:tc>
          <w:tcPr>
            <w:tcW w:w="3797" w:type="pct"/>
            <w:tcBorders>
              <w:top w:val="single" w:sz="18" w:space="0" w:color="4F81BD" w:themeColor="accent1"/>
            </w:tcBorders>
          </w:tcPr>
          <w:p w14:paraId="039F7699" w14:textId="18BCD606"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 xml:space="preserve">Регистар </w:t>
            </w:r>
            <w:proofErr w:type="spellStart"/>
            <w:r w:rsidRPr="001E1291">
              <w:rPr>
                <w:rFonts w:ascii="Times New Roman" w:hAnsi="Times New Roman"/>
                <w:lang w:val="sr-Cyrl-BA"/>
              </w:rPr>
              <w:t>емитената</w:t>
            </w:r>
            <w:proofErr w:type="spellEnd"/>
          </w:p>
        </w:tc>
        <w:tc>
          <w:tcPr>
            <w:tcW w:w="510" w:type="pct"/>
            <w:tcBorders>
              <w:top w:val="single" w:sz="18" w:space="0" w:color="4F81BD" w:themeColor="accent1"/>
            </w:tcBorders>
          </w:tcPr>
          <w:p w14:paraId="179581FC"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2</w:t>
            </w:r>
          </w:p>
        </w:tc>
        <w:tc>
          <w:tcPr>
            <w:tcW w:w="693" w:type="pct"/>
            <w:tcBorders>
              <w:top w:val="single" w:sz="18" w:space="0" w:color="4F81BD" w:themeColor="accent1"/>
            </w:tcBorders>
          </w:tcPr>
          <w:p w14:paraId="5DA84F13"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Cyrl-BA"/>
              </w:rPr>
            </w:pPr>
            <w:r w:rsidRPr="002308FD">
              <w:rPr>
                <w:rFonts w:ascii="Times New Roman" w:hAnsi="Times New Roman" w:cs="Times New Roman"/>
                <w:color w:val="000000"/>
                <w:sz w:val="20"/>
                <w:szCs w:val="20"/>
              </w:rPr>
              <w:t>1.056</w:t>
            </w:r>
          </w:p>
        </w:tc>
      </w:tr>
      <w:tr w:rsidR="00AF7B11" w:rsidRPr="00B348EC" w14:paraId="279CE6BC"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tcPr>
          <w:p w14:paraId="0559A6CE" w14:textId="51556CC7" w:rsidR="00AF7B11" w:rsidRPr="001E1291" w:rsidRDefault="00AF7B11" w:rsidP="009F2A58">
            <w:pPr>
              <w:pStyle w:val="Table"/>
              <w:rPr>
                <w:rFonts w:ascii="Times New Roman" w:hAnsi="Times New Roman"/>
                <w:highlight w:val="yellow"/>
                <w:lang w:val="sr-Cyrl-BA"/>
              </w:rPr>
            </w:pPr>
            <w:r>
              <w:rPr>
                <w:rFonts w:ascii="Times New Roman" w:hAnsi="Times New Roman"/>
                <w:lang w:val="sr-Cyrl-BA"/>
              </w:rPr>
              <w:t>П</w:t>
            </w:r>
            <w:r w:rsidRPr="001E1291">
              <w:rPr>
                <w:rFonts w:ascii="Times New Roman" w:hAnsi="Times New Roman"/>
                <w:lang w:val="sr-Cyrl-BA"/>
              </w:rPr>
              <w:t xml:space="preserve">ромјена података у Регистру </w:t>
            </w:r>
            <w:proofErr w:type="spellStart"/>
            <w:r w:rsidRPr="001E1291">
              <w:rPr>
                <w:rFonts w:ascii="Times New Roman" w:hAnsi="Times New Roman"/>
                <w:lang w:val="sr-Cyrl-BA"/>
              </w:rPr>
              <w:t>емитената</w:t>
            </w:r>
            <w:proofErr w:type="spellEnd"/>
            <w:r w:rsidRPr="001E1291">
              <w:rPr>
                <w:rFonts w:ascii="Times New Roman" w:hAnsi="Times New Roman"/>
                <w:lang w:val="sr-Cyrl-BA"/>
              </w:rPr>
              <w:t xml:space="preserve"> </w:t>
            </w:r>
          </w:p>
        </w:tc>
        <w:tc>
          <w:tcPr>
            <w:tcW w:w="510" w:type="pct"/>
          </w:tcPr>
          <w:p w14:paraId="5B60E255"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106</w:t>
            </w:r>
          </w:p>
        </w:tc>
        <w:tc>
          <w:tcPr>
            <w:tcW w:w="693" w:type="pct"/>
          </w:tcPr>
          <w:p w14:paraId="2ED7CB3E"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3.144</w:t>
            </w:r>
          </w:p>
        </w:tc>
      </w:tr>
      <w:tr w:rsidR="00AF7B11" w:rsidRPr="003A1210" w14:paraId="134A343B" w14:textId="77777777" w:rsidTr="009F2A58">
        <w:trPr>
          <w:cnfStyle w:val="000000010000" w:firstRow="0" w:lastRow="0" w:firstColumn="0" w:lastColumn="0" w:oddVBand="0" w:evenVBand="0" w:oddHBand="0" w:evenHBand="1" w:firstRowFirstColumn="0" w:firstRowLastColumn="0" w:lastRowFirstColumn="0" w:lastRowLastColumn="0"/>
        </w:trPr>
        <w:tc>
          <w:tcPr>
            <w:tcW w:w="3797" w:type="pct"/>
          </w:tcPr>
          <w:p w14:paraId="494C92A3" w14:textId="37AC5961" w:rsidR="00AF7B11" w:rsidRPr="001E1291" w:rsidRDefault="00AF7B11" w:rsidP="009F2A58">
            <w:pPr>
              <w:pStyle w:val="Table"/>
              <w:rPr>
                <w:rFonts w:ascii="Times New Roman" w:hAnsi="Times New Roman"/>
                <w:highlight w:val="yellow"/>
                <w:lang w:val="sr-Cyrl-BA"/>
              </w:rPr>
            </w:pPr>
            <w:r>
              <w:rPr>
                <w:rFonts w:ascii="Times New Roman" w:hAnsi="Times New Roman"/>
                <w:lang w:val="sr-Cyrl-BA"/>
              </w:rPr>
              <w:t>Б</w:t>
            </w:r>
            <w:r w:rsidRPr="001E1291">
              <w:rPr>
                <w:rFonts w:ascii="Times New Roman" w:hAnsi="Times New Roman"/>
                <w:lang w:val="sr-Cyrl-BA"/>
              </w:rPr>
              <w:t>риса</w:t>
            </w:r>
            <w:r>
              <w:rPr>
                <w:rFonts w:ascii="Times New Roman" w:hAnsi="Times New Roman"/>
                <w:lang w:val="sr-Cyrl-BA"/>
              </w:rPr>
              <w:t>ње</w:t>
            </w:r>
            <w:r w:rsidRPr="001E1291">
              <w:rPr>
                <w:rFonts w:ascii="Times New Roman" w:hAnsi="Times New Roman"/>
                <w:lang w:val="sr-Cyrl-BA"/>
              </w:rPr>
              <w:t xml:space="preserve"> </w:t>
            </w:r>
            <w:proofErr w:type="spellStart"/>
            <w:r w:rsidRPr="001E1291">
              <w:rPr>
                <w:rFonts w:ascii="Times New Roman" w:hAnsi="Times New Roman"/>
                <w:lang w:val="sr-Cyrl-BA"/>
              </w:rPr>
              <w:t>емитената</w:t>
            </w:r>
            <w:proofErr w:type="spellEnd"/>
            <w:r w:rsidRPr="001E1291">
              <w:rPr>
                <w:rFonts w:ascii="Times New Roman" w:hAnsi="Times New Roman"/>
                <w:lang w:val="sr-Cyrl-BA"/>
              </w:rPr>
              <w:t xml:space="preserve"> из Регистра </w:t>
            </w:r>
            <w:proofErr w:type="spellStart"/>
            <w:r w:rsidRPr="001E1291">
              <w:rPr>
                <w:rFonts w:ascii="Times New Roman" w:hAnsi="Times New Roman"/>
                <w:lang w:val="sr-Cyrl-BA"/>
              </w:rPr>
              <w:t>емитената</w:t>
            </w:r>
            <w:proofErr w:type="spellEnd"/>
          </w:p>
        </w:tc>
        <w:tc>
          <w:tcPr>
            <w:tcW w:w="510" w:type="pct"/>
          </w:tcPr>
          <w:p w14:paraId="19A256FA"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11</w:t>
            </w:r>
          </w:p>
        </w:tc>
        <w:tc>
          <w:tcPr>
            <w:tcW w:w="693" w:type="pct"/>
          </w:tcPr>
          <w:p w14:paraId="03EF6D8C"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476</w:t>
            </w:r>
          </w:p>
        </w:tc>
      </w:tr>
      <w:tr w:rsidR="00AF7B11" w:rsidRPr="003A1210" w14:paraId="4E359ED0"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tcPr>
          <w:p w14:paraId="20C280E5"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друштава за управљање инвестиционим фондовима</w:t>
            </w:r>
          </w:p>
        </w:tc>
        <w:tc>
          <w:tcPr>
            <w:tcW w:w="510" w:type="pct"/>
          </w:tcPr>
          <w:p w14:paraId="60D79347"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0</w:t>
            </w:r>
          </w:p>
        </w:tc>
        <w:tc>
          <w:tcPr>
            <w:tcW w:w="693" w:type="pct"/>
          </w:tcPr>
          <w:p w14:paraId="4939EC93"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38</w:t>
            </w:r>
          </w:p>
        </w:tc>
      </w:tr>
      <w:tr w:rsidR="00AF7B11" w:rsidRPr="003A1210" w14:paraId="2E550ACF" w14:textId="77777777" w:rsidTr="009F2A58">
        <w:trPr>
          <w:cnfStyle w:val="000000010000" w:firstRow="0" w:lastRow="0" w:firstColumn="0" w:lastColumn="0" w:oddVBand="0" w:evenVBand="0" w:oddHBand="0" w:evenHBand="1" w:firstRowFirstColumn="0" w:firstRowLastColumn="0" w:lastRowFirstColumn="0" w:lastRowLastColumn="0"/>
        </w:trPr>
        <w:tc>
          <w:tcPr>
            <w:tcW w:w="3797" w:type="pct"/>
          </w:tcPr>
          <w:p w14:paraId="7A1A827A"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инвестиционих фондова</w:t>
            </w:r>
          </w:p>
        </w:tc>
        <w:tc>
          <w:tcPr>
            <w:tcW w:w="510" w:type="pct"/>
          </w:tcPr>
          <w:p w14:paraId="660C7841"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w:t>
            </w:r>
          </w:p>
        </w:tc>
        <w:tc>
          <w:tcPr>
            <w:tcW w:w="693" w:type="pct"/>
          </w:tcPr>
          <w:p w14:paraId="076E5239"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67</w:t>
            </w:r>
          </w:p>
        </w:tc>
      </w:tr>
      <w:tr w:rsidR="00AF7B11" w:rsidRPr="003A1210" w14:paraId="176857FD"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tcPr>
          <w:p w14:paraId="0F8C6039"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правних лица овлаштених за пословање са хартијама од вриједности</w:t>
            </w:r>
          </w:p>
        </w:tc>
        <w:tc>
          <w:tcPr>
            <w:tcW w:w="510" w:type="pct"/>
          </w:tcPr>
          <w:p w14:paraId="175426F4"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0</w:t>
            </w:r>
          </w:p>
        </w:tc>
        <w:tc>
          <w:tcPr>
            <w:tcW w:w="693" w:type="pct"/>
          </w:tcPr>
          <w:p w14:paraId="1267139E"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57</w:t>
            </w:r>
          </w:p>
        </w:tc>
      </w:tr>
      <w:tr w:rsidR="00AF7B11" w:rsidRPr="003A1210" w14:paraId="2E76FCE9" w14:textId="77777777" w:rsidTr="009F2A58">
        <w:trPr>
          <w:cnfStyle w:val="000000010000" w:firstRow="0" w:lastRow="0" w:firstColumn="0" w:lastColumn="0" w:oddVBand="0" w:evenVBand="0" w:oddHBand="0" w:evenHBand="1" w:firstRowFirstColumn="0" w:firstRowLastColumn="0" w:lastRowFirstColumn="0" w:lastRowLastColumn="0"/>
        </w:trPr>
        <w:tc>
          <w:tcPr>
            <w:tcW w:w="3797" w:type="pct"/>
          </w:tcPr>
          <w:p w14:paraId="1904323F" w14:textId="77777777" w:rsidR="00AF7B11" w:rsidRPr="001E1291" w:rsidRDefault="00AF7B11" w:rsidP="009F2A58">
            <w:pPr>
              <w:pStyle w:val="Table"/>
              <w:rPr>
                <w:rFonts w:ascii="Times New Roman" w:hAnsi="Times New Roman"/>
                <w:lang w:val="sr-Cyrl-BA"/>
              </w:rPr>
            </w:pPr>
            <w:r w:rsidRPr="004E6B38">
              <w:rPr>
                <w:rFonts w:ascii="Times New Roman" w:hAnsi="Times New Roman"/>
                <w:lang w:val="sr-Cyrl-BA"/>
              </w:rPr>
              <w:t xml:space="preserve">Упис у Регистар друштава за </w:t>
            </w:r>
            <w:proofErr w:type="spellStart"/>
            <w:r w:rsidRPr="004E6B38">
              <w:rPr>
                <w:rFonts w:ascii="Times New Roman" w:hAnsi="Times New Roman"/>
                <w:lang w:val="sr-Cyrl-BA"/>
              </w:rPr>
              <w:t>факторинг</w:t>
            </w:r>
            <w:proofErr w:type="spellEnd"/>
          </w:p>
        </w:tc>
        <w:tc>
          <w:tcPr>
            <w:tcW w:w="510" w:type="pct"/>
          </w:tcPr>
          <w:p w14:paraId="51084A3E"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w:t>
            </w:r>
          </w:p>
        </w:tc>
        <w:tc>
          <w:tcPr>
            <w:tcW w:w="693" w:type="pct"/>
          </w:tcPr>
          <w:p w14:paraId="4614FE92"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3</w:t>
            </w:r>
          </w:p>
        </w:tc>
      </w:tr>
      <w:tr w:rsidR="00AF7B11" w:rsidRPr="001E56A4" w14:paraId="3629F6D5"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tcPr>
          <w:p w14:paraId="25D13044"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брокер</w:t>
            </w:r>
          </w:p>
        </w:tc>
        <w:tc>
          <w:tcPr>
            <w:tcW w:w="510" w:type="pct"/>
          </w:tcPr>
          <w:p w14:paraId="65356E54"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0</w:t>
            </w:r>
          </w:p>
        </w:tc>
        <w:tc>
          <w:tcPr>
            <w:tcW w:w="693" w:type="pct"/>
          </w:tcPr>
          <w:p w14:paraId="4DD66D3F"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195</w:t>
            </w:r>
          </w:p>
        </w:tc>
      </w:tr>
      <w:tr w:rsidR="00AF7B11" w:rsidRPr="003A1210" w14:paraId="119DADA6" w14:textId="77777777" w:rsidTr="009F2A58">
        <w:trPr>
          <w:cnfStyle w:val="000000010000" w:firstRow="0" w:lastRow="0" w:firstColumn="0" w:lastColumn="0" w:oddVBand="0" w:evenVBand="0" w:oddHBand="0" w:evenHBand="1" w:firstRowFirstColumn="0" w:firstRowLastColumn="0" w:lastRowFirstColumn="0" w:lastRowLastColumn="0"/>
        </w:trPr>
        <w:tc>
          <w:tcPr>
            <w:tcW w:w="3797" w:type="pct"/>
          </w:tcPr>
          <w:p w14:paraId="02EF2745"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инвестициони савјетник</w:t>
            </w:r>
          </w:p>
        </w:tc>
        <w:tc>
          <w:tcPr>
            <w:tcW w:w="510" w:type="pct"/>
          </w:tcPr>
          <w:p w14:paraId="2BC22609"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0</w:t>
            </w:r>
          </w:p>
        </w:tc>
        <w:tc>
          <w:tcPr>
            <w:tcW w:w="693" w:type="pct"/>
          </w:tcPr>
          <w:p w14:paraId="5239E1F1"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7</w:t>
            </w:r>
          </w:p>
        </w:tc>
      </w:tr>
      <w:tr w:rsidR="00AF7B11" w:rsidRPr="00B348EC" w14:paraId="3F9D1921" w14:textId="77777777" w:rsidTr="009F2A58">
        <w:trPr>
          <w:cnfStyle w:val="000000100000" w:firstRow="0" w:lastRow="0" w:firstColumn="0" w:lastColumn="0" w:oddVBand="0" w:evenVBand="0" w:oddHBand="1" w:evenHBand="0" w:firstRowFirstColumn="0" w:firstRowLastColumn="0" w:lastRowFirstColumn="0" w:lastRowLastColumn="0"/>
        </w:trPr>
        <w:tc>
          <w:tcPr>
            <w:tcW w:w="3797" w:type="pct"/>
          </w:tcPr>
          <w:p w14:paraId="691B7DA3"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инвестициони менаџер</w:t>
            </w:r>
          </w:p>
        </w:tc>
        <w:tc>
          <w:tcPr>
            <w:tcW w:w="510" w:type="pct"/>
          </w:tcPr>
          <w:p w14:paraId="5EAFC93A"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w:t>
            </w:r>
          </w:p>
        </w:tc>
        <w:tc>
          <w:tcPr>
            <w:tcW w:w="693" w:type="pct"/>
          </w:tcPr>
          <w:p w14:paraId="18C7AF4F"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234</w:t>
            </w:r>
          </w:p>
        </w:tc>
      </w:tr>
      <w:tr w:rsidR="00AF7B11" w:rsidRPr="0004039F" w14:paraId="5488CD82" w14:textId="77777777" w:rsidTr="009F2A58">
        <w:trPr>
          <w:cnfStyle w:val="000000010000" w:firstRow="0" w:lastRow="0" w:firstColumn="0" w:lastColumn="0" w:oddVBand="0" w:evenVBand="0" w:oddHBand="0" w:evenHBand="1" w:firstRowFirstColumn="0" w:firstRowLastColumn="0" w:lastRowFirstColumn="0" w:lastRowLastColumn="0"/>
        </w:trPr>
        <w:tc>
          <w:tcPr>
            <w:tcW w:w="3797" w:type="pct"/>
          </w:tcPr>
          <w:p w14:paraId="08D9E002"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брокера</w:t>
            </w:r>
          </w:p>
        </w:tc>
        <w:tc>
          <w:tcPr>
            <w:tcW w:w="510" w:type="pct"/>
          </w:tcPr>
          <w:p w14:paraId="2973581D"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5</w:t>
            </w:r>
          </w:p>
        </w:tc>
        <w:tc>
          <w:tcPr>
            <w:tcW w:w="693" w:type="pct"/>
          </w:tcPr>
          <w:p w14:paraId="49080A88"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243</w:t>
            </w:r>
          </w:p>
        </w:tc>
      </w:tr>
      <w:tr w:rsidR="00AF7B11" w:rsidRPr="003A1210" w14:paraId="74849CA4" w14:textId="77777777" w:rsidTr="009F2A58">
        <w:trPr>
          <w:cnfStyle w:val="000000100000" w:firstRow="0" w:lastRow="0" w:firstColumn="0" w:lastColumn="0" w:oddVBand="0" w:evenVBand="0" w:oddHBand="1" w:evenHBand="0" w:firstRowFirstColumn="0" w:firstRowLastColumn="0" w:lastRowFirstColumn="0" w:lastRowLastColumn="0"/>
          <w:trHeight w:val="195"/>
        </w:trPr>
        <w:tc>
          <w:tcPr>
            <w:tcW w:w="3797" w:type="pct"/>
          </w:tcPr>
          <w:p w14:paraId="1F40E6B8"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инвестиционог савјетника</w:t>
            </w:r>
          </w:p>
        </w:tc>
        <w:tc>
          <w:tcPr>
            <w:tcW w:w="510" w:type="pct"/>
          </w:tcPr>
          <w:p w14:paraId="17DFE94D"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0</w:t>
            </w:r>
          </w:p>
        </w:tc>
        <w:tc>
          <w:tcPr>
            <w:tcW w:w="693" w:type="pct"/>
          </w:tcPr>
          <w:p w14:paraId="0405FB41"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21</w:t>
            </w:r>
          </w:p>
        </w:tc>
      </w:tr>
      <w:tr w:rsidR="00AF7B11" w:rsidRPr="001E56A4" w14:paraId="227D8F81" w14:textId="77777777" w:rsidTr="009F2A58">
        <w:trPr>
          <w:cnfStyle w:val="000000010000" w:firstRow="0" w:lastRow="0" w:firstColumn="0" w:lastColumn="0" w:oddVBand="0" w:evenVBand="0" w:oddHBand="0" w:evenHBand="1" w:firstRowFirstColumn="0" w:firstRowLastColumn="0" w:lastRowFirstColumn="0" w:lastRowLastColumn="0"/>
          <w:trHeight w:val="227"/>
        </w:trPr>
        <w:tc>
          <w:tcPr>
            <w:tcW w:w="3797" w:type="pct"/>
          </w:tcPr>
          <w:p w14:paraId="1E7A29FB" w14:textId="77777777" w:rsidR="00AF7B11" w:rsidRPr="001E1291" w:rsidRDefault="00AF7B11" w:rsidP="009F2A58">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инвестиционог менаџера</w:t>
            </w:r>
          </w:p>
        </w:tc>
        <w:tc>
          <w:tcPr>
            <w:tcW w:w="510" w:type="pct"/>
          </w:tcPr>
          <w:p w14:paraId="4FA932F6"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3</w:t>
            </w:r>
          </w:p>
        </w:tc>
        <w:tc>
          <w:tcPr>
            <w:tcW w:w="693" w:type="pct"/>
          </w:tcPr>
          <w:p w14:paraId="2914EAB9"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Latn-BA"/>
              </w:rPr>
            </w:pPr>
            <w:r w:rsidRPr="002308FD">
              <w:rPr>
                <w:rFonts w:ascii="Times New Roman" w:hAnsi="Times New Roman" w:cs="Times New Roman"/>
                <w:color w:val="000000"/>
                <w:sz w:val="20"/>
                <w:szCs w:val="20"/>
              </w:rPr>
              <w:t>298</w:t>
            </w:r>
          </w:p>
        </w:tc>
      </w:tr>
      <w:tr w:rsidR="00AF7B11" w:rsidRPr="004E6B38" w14:paraId="2CD49031" w14:textId="77777777" w:rsidTr="009F2A58">
        <w:trPr>
          <w:cnfStyle w:val="000000100000" w:firstRow="0" w:lastRow="0" w:firstColumn="0" w:lastColumn="0" w:oddVBand="0" w:evenVBand="0" w:oddHBand="1" w:evenHBand="0" w:firstRowFirstColumn="0" w:firstRowLastColumn="0" w:lastRowFirstColumn="0" w:lastRowLastColumn="0"/>
          <w:trHeight w:val="227"/>
        </w:trPr>
        <w:tc>
          <w:tcPr>
            <w:tcW w:w="3797" w:type="pct"/>
          </w:tcPr>
          <w:p w14:paraId="45F7089A" w14:textId="295694A8" w:rsidR="00AF7B11" w:rsidRPr="001E1291" w:rsidRDefault="00AF7B11" w:rsidP="009F2A58">
            <w:pPr>
              <w:pStyle w:val="Table"/>
              <w:rPr>
                <w:rFonts w:ascii="Times New Roman" w:hAnsi="Times New Roman"/>
                <w:lang w:val="sr-Cyrl-BA"/>
              </w:rPr>
            </w:pPr>
            <w:r w:rsidRPr="004E6B38">
              <w:rPr>
                <w:rFonts w:ascii="Times New Roman" w:hAnsi="Times New Roman"/>
                <w:lang w:val="sr-Cyrl-BA"/>
              </w:rPr>
              <w:t>Евиденциј</w:t>
            </w:r>
            <w:r>
              <w:rPr>
                <w:rFonts w:ascii="Times New Roman" w:hAnsi="Times New Roman"/>
                <w:lang w:val="sr-Cyrl-BA"/>
              </w:rPr>
              <w:t>а</w:t>
            </w:r>
            <w:r w:rsidRPr="004E6B38">
              <w:rPr>
                <w:rFonts w:ascii="Times New Roman" w:hAnsi="Times New Roman"/>
                <w:lang w:val="sr-Cyrl-BA"/>
              </w:rPr>
              <w:t xml:space="preserve"> </w:t>
            </w:r>
            <w:proofErr w:type="spellStart"/>
            <w:r w:rsidRPr="004E6B38">
              <w:rPr>
                <w:rFonts w:ascii="Times New Roman" w:hAnsi="Times New Roman"/>
                <w:lang w:val="sr-Cyrl-BA"/>
              </w:rPr>
              <w:t>пружалаца</w:t>
            </w:r>
            <w:proofErr w:type="spellEnd"/>
            <w:r w:rsidRPr="004E6B38">
              <w:rPr>
                <w:rFonts w:ascii="Times New Roman" w:hAnsi="Times New Roman"/>
                <w:lang w:val="sr-Cyrl-BA"/>
              </w:rPr>
              <w:t xml:space="preserve"> услуга повезаних са виртуелним валутама</w:t>
            </w:r>
          </w:p>
        </w:tc>
        <w:tc>
          <w:tcPr>
            <w:tcW w:w="510" w:type="pct"/>
          </w:tcPr>
          <w:p w14:paraId="3111D363" w14:textId="77777777" w:rsidR="00AF7B11" w:rsidRPr="004E6B38" w:rsidRDefault="00AF7B11" w:rsidP="009F2A58">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5</w:t>
            </w:r>
          </w:p>
        </w:tc>
        <w:tc>
          <w:tcPr>
            <w:tcW w:w="693" w:type="pct"/>
          </w:tcPr>
          <w:p w14:paraId="13E755D5" w14:textId="77777777" w:rsidR="00AF7B11" w:rsidRPr="002308FD" w:rsidRDefault="00AF7B11" w:rsidP="009F2A58">
            <w:pPr>
              <w:tabs>
                <w:tab w:val="decimal" w:pos="720"/>
              </w:tabs>
              <w:spacing w:after="0" w:line="240" w:lineRule="auto"/>
              <w:ind w:firstLine="0"/>
              <w:jc w:val="left"/>
              <w:rPr>
                <w:rFonts w:ascii="Times New Roman" w:hAnsi="Times New Roman" w:cs="Times New Roman"/>
                <w:sz w:val="20"/>
                <w:szCs w:val="20"/>
                <w:lang w:val="sr-Cyrl-BA"/>
              </w:rPr>
            </w:pPr>
            <w:r w:rsidRPr="002308FD">
              <w:rPr>
                <w:rFonts w:ascii="Times New Roman" w:hAnsi="Times New Roman" w:cs="Times New Roman"/>
                <w:color w:val="000000"/>
                <w:sz w:val="20"/>
                <w:szCs w:val="20"/>
              </w:rPr>
              <w:t>6</w:t>
            </w:r>
          </w:p>
        </w:tc>
      </w:tr>
    </w:tbl>
    <w:p w14:paraId="2E9801CE" w14:textId="1C4F890E" w:rsidR="009628CE" w:rsidRPr="00EC6422" w:rsidRDefault="009628CE" w:rsidP="006B6E0C">
      <w:pPr>
        <w:pStyle w:val="Caption"/>
        <w:tabs>
          <w:tab w:val="left" w:pos="1276"/>
        </w:tabs>
        <w:spacing w:after="0"/>
        <w:ind w:left="1276" w:hanging="1276"/>
        <w:jc w:val="both"/>
        <w:rPr>
          <w:rFonts w:ascii="Times New Roman" w:hAnsi="Times New Roman"/>
          <w:b w:val="0"/>
          <w:sz w:val="24"/>
          <w:szCs w:val="24"/>
          <w:lang w:val="sr-Cyrl-BA"/>
        </w:rPr>
      </w:pPr>
      <w:r w:rsidRPr="00AF7B11">
        <w:rPr>
          <w:rFonts w:ascii="Times New Roman" w:hAnsi="Times New Roman"/>
          <w:sz w:val="24"/>
          <w:szCs w:val="24"/>
          <w:lang w:val="sr-Cyrl-BA"/>
        </w:rPr>
        <w:t xml:space="preserve">Табела </w:t>
      </w:r>
      <w:r w:rsidR="00D3478F" w:rsidRPr="00AF7B11">
        <w:rPr>
          <w:rFonts w:ascii="Times New Roman" w:hAnsi="Times New Roman"/>
          <w:sz w:val="24"/>
          <w:szCs w:val="24"/>
          <w:lang w:val="sr-Cyrl-BA"/>
        </w:rPr>
        <w:fldChar w:fldCharType="begin"/>
      </w:r>
      <w:r w:rsidRPr="00AF7B11">
        <w:rPr>
          <w:rFonts w:ascii="Times New Roman" w:hAnsi="Times New Roman"/>
          <w:sz w:val="24"/>
          <w:szCs w:val="24"/>
          <w:lang w:val="sr-Cyrl-BA"/>
        </w:rPr>
        <w:instrText xml:space="preserve"> SEQ Табела \* ARABIC </w:instrText>
      </w:r>
      <w:r w:rsidR="00D3478F" w:rsidRPr="00AF7B11">
        <w:rPr>
          <w:rFonts w:ascii="Times New Roman" w:hAnsi="Times New Roman"/>
          <w:sz w:val="24"/>
          <w:szCs w:val="24"/>
          <w:lang w:val="sr-Cyrl-BA"/>
        </w:rPr>
        <w:fldChar w:fldCharType="separate"/>
      </w:r>
      <w:r w:rsidR="00C64B5B">
        <w:rPr>
          <w:rFonts w:ascii="Times New Roman" w:hAnsi="Times New Roman"/>
          <w:noProof/>
          <w:sz w:val="24"/>
          <w:szCs w:val="24"/>
          <w:lang w:val="sr-Cyrl-BA"/>
        </w:rPr>
        <w:t>3</w:t>
      </w:r>
      <w:r w:rsidR="00D3478F" w:rsidRPr="00AF7B11">
        <w:rPr>
          <w:rFonts w:ascii="Times New Roman" w:hAnsi="Times New Roman"/>
          <w:sz w:val="24"/>
          <w:szCs w:val="24"/>
          <w:lang w:val="sr-Cyrl-BA"/>
        </w:rPr>
        <w:fldChar w:fldCharType="end"/>
      </w:r>
      <w:r w:rsidRPr="00AF7B11">
        <w:rPr>
          <w:rFonts w:ascii="Times New Roman" w:hAnsi="Times New Roman"/>
          <w:sz w:val="24"/>
          <w:szCs w:val="24"/>
          <w:lang w:val="sr-Cyrl-BA"/>
        </w:rPr>
        <w:t>.</w:t>
      </w:r>
      <w:r w:rsidRPr="00AF7B11">
        <w:rPr>
          <w:rFonts w:ascii="Times New Roman" w:hAnsi="Times New Roman"/>
          <w:sz w:val="24"/>
          <w:szCs w:val="24"/>
          <w:lang w:val="sr-Cyrl-BA"/>
        </w:rPr>
        <w:tab/>
      </w:r>
      <w:proofErr w:type="spellStart"/>
      <w:r w:rsidRPr="00AF7B11">
        <w:rPr>
          <w:rFonts w:ascii="Times New Roman" w:hAnsi="Times New Roman"/>
          <w:b w:val="0"/>
          <w:sz w:val="24"/>
          <w:szCs w:val="24"/>
          <w:lang w:val="sr-Cyrl-BA"/>
        </w:rPr>
        <w:t>Преглед</w:t>
      </w:r>
      <w:proofErr w:type="spellEnd"/>
      <w:r w:rsidRPr="00AF7B11">
        <w:rPr>
          <w:rFonts w:ascii="Times New Roman" w:hAnsi="Times New Roman"/>
          <w:b w:val="0"/>
          <w:sz w:val="24"/>
          <w:szCs w:val="24"/>
          <w:lang w:val="sr-Cyrl-BA"/>
        </w:rPr>
        <w:t xml:space="preserve"> регистара </w:t>
      </w:r>
      <w:r w:rsidR="00F91AD3" w:rsidRPr="00AF7B11">
        <w:rPr>
          <w:rFonts w:ascii="Times New Roman" w:hAnsi="Times New Roman"/>
          <w:b w:val="0"/>
          <w:sz w:val="24"/>
          <w:szCs w:val="24"/>
          <w:lang w:val="sr-Cyrl-BA"/>
        </w:rPr>
        <w:t xml:space="preserve">и евиденција </w:t>
      </w:r>
      <w:r w:rsidRPr="00AF7B11">
        <w:rPr>
          <w:rFonts w:ascii="Times New Roman" w:hAnsi="Times New Roman"/>
          <w:b w:val="0"/>
          <w:sz w:val="24"/>
          <w:szCs w:val="24"/>
          <w:lang w:val="sr-Cyrl-BA"/>
        </w:rPr>
        <w:t xml:space="preserve">Комисије у </w:t>
      </w:r>
      <w:r w:rsidR="00AF7B11" w:rsidRPr="00AF7B11">
        <w:rPr>
          <w:rFonts w:ascii="Times New Roman" w:hAnsi="Times New Roman"/>
          <w:b w:val="0"/>
          <w:sz w:val="24"/>
          <w:szCs w:val="24"/>
          <w:lang w:val="sr-Latn-BA"/>
        </w:rPr>
        <w:t>2023</w:t>
      </w:r>
      <w:r w:rsidRPr="00AF7B11">
        <w:rPr>
          <w:rFonts w:ascii="Times New Roman" w:hAnsi="Times New Roman"/>
          <w:b w:val="0"/>
          <w:sz w:val="24"/>
          <w:szCs w:val="24"/>
          <w:lang w:val="sr-Cyrl-BA"/>
        </w:rPr>
        <w:t xml:space="preserve">. години и периоду 2001 </w:t>
      </w:r>
      <w:r w:rsidR="00640079" w:rsidRPr="00AF7B11">
        <w:rPr>
          <w:rFonts w:ascii="Times New Roman" w:hAnsi="Times New Roman"/>
          <w:b w:val="0"/>
          <w:sz w:val="24"/>
          <w:szCs w:val="24"/>
          <w:lang w:val="sr-Cyrl-BA"/>
        </w:rPr>
        <w:t>-</w:t>
      </w:r>
      <w:r w:rsidRPr="00AF7B11">
        <w:rPr>
          <w:rFonts w:ascii="Times New Roman" w:hAnsi="Times New Roman"/>
          <w:b w:val="0"/>
          <w:sz w:val="24"/>
          <w:szCs w:val="24"/>
          <w:lang w:val="sr-Cyrl-BA"/>
        </w:rPr>
        <w:t xml:space="preserve"> </w:t>
      </w:r>
      <w:r w:rsidR="00AB10AC" w:rsidRPr="00AF7B11">
        <w:rPr>
          <w:rFonts w:ascii="Times New Roman" w:hAnsi="Times New Roman"/>
          <w:b w:val="0"/>
          <w:sz w:val="24"/>
          <w:szCs w:val="24"/>
          <w:lang w:val="en-US"/>
        </w:rPr>
        <w:t>202</w:t>
      </w:r>
      <w:r w:rsidR="00AF7B11" w:rsidRPr="00AF7B11">
        <w:rPr>
          <w:rFonts w:ascii="Times New Roman" w:hAnsi="Times New Roman"/>
          <w:b w:val="0"/>
          <w:sz w:val="24"/>
          <w:szCs w:val="24"/>
          <w:lang w:val="sr-Latn-BA"/>
        </w:rPr>
        <w:t>3</w:t>
      </w:r>
      <w:r w:rsidRPr="00AF7B11">
        <w:rPr>
          <w:rFonts w:ascii="Times New Roman" w:hAnsi="Times New Roman"/>
          <w:b w:val="0"/>
          <w:sz w:val="24"/>
          <w:szCs w:val="24"/>
          <w:lang w:val="sr-Cyrl-BA"/>
        </w:rPr>
        <w:t>. године</w:t>
      </w:r>
    </w:p>
    <w:bookmarkEnd w:id="36"/>
    <w:p w14:paraId="188A0113" w14:textId="1D381E0F" w:rsidR="009628CE" w:rsidRPr="0004039F" w:rsidRDefault="009628CE" w:rsidP="006B6E0C">
      <w:pPr>
        <w:spacing w:after="0" w:line="240" w:lineRule="auto"/>
        <w:ind w:firstLine="567"/>
        <w:rPr>
          <w:lang w:val="sr-Cyrl-BA"/>
        </w:rPr>
      </w:pPr>
      <w:r w:rsidRPr="0004039F">
        <w:rPr>
          <w:lang w:val="sr-Cyrl-BA"/>
        </w:rPr>
        <w:t xml:space="preserve">На основу података из претходне табеле видљиво је да у </w:t>
      </w:r>
      <w:r w:rsidR="006D0458">
        <w:rPr>
          <w:lang w:val="sr-Cyrl-BA"/>
        </w:rPr>
        <w:t>202</w:t>
      </w:r>
      <w:r w:rsidR="005B21B1">
        <w:rPr>
          <w:lang w:val="sr-Cyrl-BA"/>
        </w:rPr>
        <w:t>3</w:t>
      </w:r>
      <w:r w:rsidRPr="0004039F">
        <w:rPr>
          <w:lang w:val="sr-Cyrl-BA"/>
        </w:rPr>
        <w:t xml:space="preserve">. години </w:t>
      </w:r>
      <w:r w:rsidR="00D15E8F">
        <w:rPr>
          <w:lang w:val="sr-Cyrl-BA"/>
        </w:rPr>
        <w:t>извршен</w:t>
      </w:r>
      <w:r w:rsidRPr="0004039F">
        <w:rPr>
          <w:lang w:val="sr-Cyrl-BA"/>
        </w:rPr>
        <w:t xml:space="preserve"> упис</w:t>
      </w:r>
      <w:r w:rsidR="00E865BB" w:rsidRPr="0004039F">
        <w:rPr>
          <w:lang w:val="sr-Cyrl-BA"/>
        </w:rPr>
        <w:t xml:space="preserve">  </w:t>
      </w:r>
      <w:r w:rsidR="005B21B1">
        <w:rPr>
          <w:lang w:val="sr-Cyrl-BA"/>
        </w:rPr>
        <w:t>два</w:t>
      </w:r>
      <w:r w:rsidR="003A1210" w:rsidRPr="0004039F">
        <w:rPr>
          <w:lang w:val="sr-Cyrl-BA"/>
        </w:rPr>
        <w:t xml:space="preserve"> </w:t>
      </w:r>
      <w:proofErr w:type="spellStart"/>
      <w:r w:rsidR="003A1210" w:rsidRPr="0004039F">
        <w:rPr>
          <w:lang w:val="sr-Cyrl-BA"/>
        </w:rPr>
        <w:t>емитента</w:t>
      </w:r>
      <w:proofErr w:type="spellEnd"/>
      <w:r w:rsidRPr="0004039F">
        <w:rPr>
          <w:lang w:val="sr-Cyrl-BA"/>
        </w:rPr>
        <w:t xml:space="preserve">, </w:t>
      </w:r>
      <w:r w:rsidR="00640079" w:rsidRPr="0004039F">
        <w:rPr>
          <w:lang w:val="sr-Cyrl-BA"/>
        </w:rPr>
        <w:t xml:space="preserve">док </w:t>
      </w:r>
      <w:r w:rsidR="001E1291" w:rsidRPr="0004039F">
        <w:rPr>
          <w:lang w:val="sr-Cyrl-BA"/>
        </w:rPr>
        <w:t>је</w:t>
      </w:r>
      <w:r w:rsidR="00640079" w:rsidRPr="0004039F">
        <w:rPr>
          <w:lang w:val="sr-Cyrl-BA"/>
        </w:rPr>
        <w:t xml:space="preserve"> </w:t>
      </w:r>
      <w:r w:rsidR="005B21B1">
        <w:rPr>
          <w:lang w:val="sr-Cyrl-BA"/>
        </w:rPr>
        <w:t>106</w:t>
      </w:r>
      <w:r w:rsidR="003A1210" w:rsidRPr="0004039F">
        <w:rPr>
          <w:lang w:val="sr-Cyrl-BA"/>
        </w:rPr>
        <w:t xml:space="preserve"> </w:t>
      </w:r>
      <w:proofErr w:type="spellStart"/>
      <w:r w:rsidR="003A1210" w:rsidRPr="0004039F">
        <w:rPr>
          <w:lang w:val="sr-Cyrl-BA"/>
        </w:rPr>
        <w:t>емитента</w:t>
      </w:r>
      <w:proofErr w:type="spellEnd"/>
      <w:r w:rsidR="003A1210" w:rsidRPr="0004039F">
        <w:rPr>
          <w:lang w:val="sr-Cyrl-BA"/>
        </w:rPr>
        <w:t xml:space="preserve"> брисано из регистра </w:t>
      </w:r>
      <w:proofErr w:type="spellStart"/>
      <w:r w:rsidR="003A1210" w:rsidRPr="0004039F">
        <w:rPr>
          <w:lang w:val="sr-Cyrl-BA"/>
        </w:rPr>
        <w:t>емитената</w:t>
      </w:r>
      <w:proofErr w:type="spellEnd"/>
      <w:r w:rsidRPr="0004039F">
        <w:rPr>
          <w:lang w:val="sr-Cyrl-BA"/>
        </w:rPr>
        <w:t>.</w:t>
      </w:r>
    </w:p>
    <w:p w14:paraId="0157E317" w14:textId="63E8DDAD" w:rsidR="00552C7C" w:rsidRPr="0027056D" w:rsidRDefault="004060D8" w:rsidP="006B6E0C">
      <w:pPr>
        <w:spacing w:after="0" w:line="240" w:lineRule="auto"/>
        <w:ind w:firstLine="567"/>
        <w:rPr>
          <w:lang w:val="sr-Cyrl-BA"/>
        </w:rPr>
      </w:pPr>
      <w:r w:rsidRPr="0004039F">
        <w:rPr>
          <w:lang w:val="sr-Cyrl-BA"/>
        </w:rPr>
        <w:t>Од почетка рада Комисије, до посљедњег дана извјештајног периода уписано је укупно 1.</w:t>
      </w:r>
      <w:r w:rsidR="00840155" w:rsidRPr="0004039F">
        <w:rPr>
          <w:lang w:val="sr-Cyrl-BA"/>
        </w:rPr>
        <w:t>0</w:t>
      </w:r>
      <w:r w:rsidR="006D0458">
        <w:rPr>
          <w:lang w:val="sr-Cyrl-BA"/>
        </w:rPr>
        <w:t>5</w:t>
      </w:r>
      <w:r w:rsidR="005B21B1">
        <w:rPr>
          <w:lang w:val="sr-Cyrl-BA"/>
        </w:rPr>
        <w:t>6</w:t>
      </w:r>
      <w:r w:rsidR="00840155" w:rsidRPr="0004039F">
        <w:rPr>
          <w:lang w:val="sr-Cyrl-BA"/>
        </w:rPr>
        <w:t xml:space="preserve"> </w:t>
      </w:r>
      <w:proofErr w:type="spellStart"/>
      <w:r w:rsidR="00840155" w:rsidRPr="0004039F">
        <w:rPr>
          <w:lang w:val="sr-Cyrl-BA"/>
        </w:rPr>
        <w:t>емитен</w:t>
      </w:r>
      <w:r w:rsidRPr="0004039F">
        <w:rPr>
          <w:lang w:val="sr-Cyrl-BA"/>
        </w:rPr>
        <w:t>та</w:t>
      </w:r>
      <w:proofErr w:type="spellEnd"/>
      <w:r w:rsidRPr="0004039F">
        <w:rPr>
          <w:lang w:val="sr-Cyrl-BA"/>
        </w:rPr>
        <w:t xml:space="preserve">, те је извршено </w:t>
      </w:r>
      <w:r w:rsidR="006D0458">
        <w:rPr>
          <w:lang w:val="sr-Cyrl-BA"/>
        </w:rPr>
        <w:t>3.</w:t>
      </w:r>
      <w:r w:rsidR="005B21B1">
        <w:rPr>
          <w:lang w:val="sr-Cyrl-BA"/>
        </w:rPr>
        <w:t>144</w:t>
      </w:r>
      <w:r w:rsidRPr="0004039F">
        <w:rPr>
          <w:lang w:val="sr-Cyrl-BA"/>
        </w:rPr>
        <w:t xml:space="preserve"> </w:t>
      </w:r>
      <w:r w:rsidR="00E865BB" w:rsidRPr="0004039F">
        <w:rPr>
          <w:lang w:val="sr-Cyrl-BA"/>
        </w:rPr>
        <w:t>промјене</w:t>
      </w:r>
      <w:r w:rsidRPr="0004039F">
        <w:rPr>
          <w:lang w:val="sr-Cyrl-BA"/>
        </w:rPr>
        <w:t xml:space="preserve"> података, те </w:t>
      </w:r>
      <w:r w:rsidR="005B21B1">
        <w:rPr>
          <w:lang w:val="sr-Cyrl-BA"/>
        </w:rPr>
        <w:t>476</w:t>
      </w:r>
      <w:r w:rsidRPr="0004039F">
        <w:rPr>
          <w:lang w:val="sr-Cyrl-BA"/>
        </w:rPr>
        <w:t xml:space="preserve"> поступ</w:t>
      </w:r>
      <w:r w:rsidR="006D0458">
        <w:rPr>
          <w:lang w:val="sr-Cyrl-BA"/>
        </w:rPr>
        <w:t>а</w:t>
      </w:r>
      <w:r w:rsidRPr="0004039F">
        <w:rPr>
          <w:lang w:val="sr-Cyrl-BA"/>
        </w:rPr>
        <w:t>к</w:t>
      </w:r>
      <w:r w:rsidR="006D0458">
        <w:rPr>
          <w:lang w:val="sr-Cyrl-BA"/>
        </w:rPr>
        <w:t>а</w:t>
      </w:r>
      <w:r w:rsidRPr="0004039F">
        <w:rPr>
          <w:lang w:val="sr-Cyrl-BA"/>
        </w:rPr>
        <w:t xml:space="preserve"> брисања </w:t>
      </w:r>
      <w:proofErr w:type="spellStart"/>
      <w:r w:rsidRPr="0004039F">
        <w:rPr>
          <w:lang w:val="sr-Cyrl-BA"/>
        </w:rPr>
        <w:t>емитената</w:t>
      </w:r>
      <w:proofErr w:type="spellEnd"/>
      <w:r w:rsidRPr="0004039F">
        <w:rPr>
          <w:lang w:val="sr-Cyrl-BA"/>
        </w:rPr>
        <w:t xml:space="preserve"> из регистра </w:t>
      </w:r>
      <w:proofErr w:type="spellStart"/>
      <w:r w:rsidRPr="0004039F">
        <w:rPr>
          <w:lang w:val="sr-Cyrl-BA"/>
        </w:rPr>
        <w:t>емитената</w:t>
      </w:r>
      <w:proofErr w:type="spellEnd"/>
      <w:r w:rsidR="00552C7C" w:rsidRPr="0004039F">
        <w:rPr>
          <w:lang w:val="sr-Cyrl-BA"/>
        </w:rPr>
        <w:t>.</w:t>
      </w:r>
    </w:p>
    <w:p w14:paraId="23AF8AC7" w14:textId="73609143" w:rsidR="004957BF" w:rsidRDefault="004060D8" w:rsidP="006B6E0C">
      <w:pPr>
        <w:spacing w:line="240" w:lineRule="auto"/>
        <w:ind w:firstLine="567"/>
        <w:rPr>
          <w:lang w:val="sr-Cyrl-BA"/>
        </w:rPr>
      </w:pPr>
      <w:r w:rsidRPr="0027056D">
        <w:rPr>
          <w:lang w:val="sr-Cyrl-BA"/>
        </w:rPr>
        <w:t xml:space="preserve">Знатан број </w:t>
      </w:r>
      <w:proofErr w:type="spellStart"/>
      <w:r w:rsidRPr="0027056D">
        <w:rPr>
          <w:lang w:val="sr-Cyrl-BA"/>
        </w:rPr>
        <w:t>емитената</w:t>
      </w:r>
      <w:proofErr w:type="spellEnd"/>
      <w:r w:rsidRPr="0027056D">
        <w:rPr>
          <w:lang w:val="sr-Cyrl-BA"/>
        </w:rPr>
        <w:t xml:space="preserve">, који су након приватизације уписани у регистар </w:t>
      </w:r>
      <w:proofErr w:type="spellStart"/>
      <w:r w:rsidRPr="0027056D">
        <w:rPr>
          <w:lang w:val="sr-Cyrl-BA"/>
        </w:rPr>
        <w:t>емитената</w:t>
      </w:r>
      <w:proofErr w:type="spellEnd"/>
      <w:r w:rsidRPr="0027056D">
        <w:rPr>
          <w:lang w:val="sr-Cyrl-BA"/>
        </w:rPr>
        <w:t xml:space="preserve">, је брисан из регистра </w:t>
      </w:r>
      <w:proofErr w:type="spellStart"/>
      <w:r w:rsidRPr="0027056D">
        <w:rPr>
          <w:lang w:val="sr-Cyrl-BA"/>
        </w:rPr>
        <w:t>емитената</w:t>
      </w:r>
      <w:proofErr w:type="spellEnd"/>
      <w:r w:rsidRPr="0027056D">
        <w:rPr>
          <w:lang w:val="sr-Cyrl-BA"/>
        </w:rPr>
        <w:t xml:space="preserve"> и посљедично </w:t>
      </w:r>
      <w:proofErr w:type="spellStart"/>
      <w:r w:rsidRPr="0027056D">
        <w:rPr>
          <w:lang w:val="sr-Cyrl-BA"/>
        </w:rPr>
        <w:t>делистиран</w:t>
      </w:r>
      <w:proofErr w:type="spellEnd"/>
      <w:r w:rsidRPr="0027056D">
        <w:rPr>
          <w:lang w:val="sr-Cyrl-BA"/>
        </w:rPr>
        <w:t xml:space="preserve"> са трговања на Бањалучкој берзи, због окончања поступка стечаја </w:t>
      </w:r>
      <w:r w:rsidR="0066171A">
        <w:rPr>
          <w:lang w:val="sr-Cyrl-BA"/>
        </w:rPr>
        <w:t>престанком рада друштва, ликвидације</w:t>
      </w:r>
      <w:r w:rsidRPr="0027056D">
        <w:rPr>
          <w:lang w:val="sr-Cyrl-BA"/>
        </w:rPr>
        <w:t>, по основу статусних промјена, те промјене правне форме након истискивања мањинских акционара</w:t>
      </w:r>
      <w:r w:rsidR="00694BC7" w:rsidRPr="0027056D">
        <w:rPr>
          <w:lang w:val="sr-Cyrl-BA"/>
        </w:rPr>
        <w:t>.</w:t>
      </w:r>
    </w:p>
    <w:p w14:paraId="5AB1A4BC" w14:textId="6C09A1A0" w:rsidR="006C0A13" w:rsidRDefault="006C0A13" w:rsidP="006B6E0C">
      <w:pPr>
        <w:spacing w:line="240" w:lineRule="auto"/>
        <w:ind w:firstLine="567"/>
        <w:rPr>
          <w:lang w:val="sr-Cyrl-BA"/>
        </w:rPr>
      </w:pPr>
    </w:p>
    <w:p w14:paraId="488A7574" w14:textId="02C8C693" w:rsidR="006C0A13" w:rsidRDefault="006C0A13" w:rsidP="006B6E0C">
      <w:pPr>
        <w:spacing w:line="240" w:lineRule="auto"/>
        <w:ind w:firstLine="567"/>
        <w:rPr>
          <w:lang w:val="sr-Cyrl-BA"/>
        </w:rPr>
      </w:pPr>
    </w:p>
    <w:p w14:paraId="6B76AA4D" w14:textId="42702EF5" w:rsidR="006C0A13" w:rsidRDefault="006C0A13" w:rsidP="006B6E0C">
      <w:pPr>
        <w:spacing w:line="240" w:lineRule="auto"/>
        <w:ind w:firstLine="567"/>
        <w:rPr>
          <w:lang w:val="sr-Cyrl-BA"/>
        </w:rPr>
      </w:pPr>
    </w:p>
    <w:p w14:paraId="64C63575" w14:textId="22FDBC25" w:rsidR="006C0A13" w:rsidRDefault="006C0A13" w:rsidP="006B6E0C">
      <w:pPr>
        <w:spacing w:line="240" w:lineRule="auto"/>
        <w:ind w:firstLine="567"/>
        <w:rPr>
          <w:lang w:val="sr-Cyrl-BA"/>
        </w:rPr>
      </w:pPr>
    </w:p>
    <w:p w14:paraId="7B27ADD5" w14:textId="3C44AEC7" w:rsidR="006C0A13" w:rsidRDefault="006C0A13" w:rsidP="006B6E0C">
      <w:pPr>
        <w:spacing w:line="240" w:lineRule="auto"/>
        <w:ind w:firstLine="567"/>
        <w:rPr>
          <w:lang w:val="sr-Cyrl-BA"/>
        </w:rPr>
      </w:pPr>
    </w:p>
    <w:tbl>
      <w:tblPr>
        <w:tblStyle w:val="LightGrid-Accent11"/>
        <w:tblW w:w="0" w:type="auto"/>
        <w:jc w:val="center"/>
        <w:tblLook w:val="04E0" w:firstRow="1" w:lastRow="1" w:firstColumn="1" w:lastColumn="0" w:noHBand="0" w:noVBand="1"/>
      </w:tblPr>
      <w:tblGrid>
        <w:gridCol w:w="1085"/>
        <w:gridCol w:w="1681"/>
        <w:gridCol w:w="1595"/>
        <w:gridCol w:w="1665"/>
      </w:tblGrid>
      <w:tr w:rsidR="004060D8" w:rsidRPr="00EC6422" w14:paraId="39BA6457" w14:textId="77777777" w:rsidTr="006617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3DAA6C80" w14:textId="77777777" w:rsidR="004060D8" w:rsidRPr="00EC6422" w:rsidRDefault="004060D8" w:rsidP="008416FF">
            <w:pPr>
              <w:spacing w:after="0" w:line="240" w:lineRule="auto"/>
              <w:ind w:firstLine="0"/>
              <w:jc w:val="center"/>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lastRenderedPageBreak/>
              <w:t>Година</w:t>
            </w:r>
          </w:p>
        </w:tc>
        <w:tc>
          <w:tcPr>
            <w:tcW w:w="1681" w:type="dxa"/>
            <w:vAlign w:val="center"/>
          </w:tcPr>
          <w:p w14:paraId="4E113342" w14:textId="77777777" w:rsidR="004060D8" w:rsidRPr="00EC6422" w:rsidRDefault="004060D8" w:rsidP="0066171A">
            <w:pPr>
              <w:spacing w:after="4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 xml:space="preserve">Број уписаних </w:t>
            </w:r>
            <w:proofErr w:type="spellStart"/>
            <w:r w:rsidRPr="00EC6422">
              <w:rPr>
                <w:rFonts w:ascii="Times New Roman" w:eastAsia="Calibri" w:hAnsi="Times New Roman" w:cs="Times New Roman"/>
                <w:sz w:val="20"/>
                <w:szCs w:val="20"/>
                <w:lang w:val="sr-Cyrl-BA"/>
              </w:rPr>
              <w:t>емитената</w:t>
            </w:r>
            <w:proofErr w:type="spellEnd"/>
          </w:p>
        </w:tc>
        <w:tc>
          <w:tcPr>
            <w:tcW w:w="1595" w:type="dxa"/>
            <w:vAlign w:val="center"/>
          </w:tcPr>
          <w:p w14:paraId="04E8383B" w14:textId="77777777" w:rsidR="004060D8" w:rsidRPr="00EC6422" w:rsidRDefault="004060D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Број промјена података</w:t>
            </w:r>
          </w:p>
        </w:tc>
        <w:tc>
          <w:tcPr>
            <w:tcW w:w="1665" w:type="dxa"/>
            <w:vAlign w:val="center"/>
          </w:tcPr>
          <w:p w14:paraId="5BC1ED53" w14:textId="77777777" w:rsidR="004060D8" w:rsidRPr="00EC6422" w:rsidRDefault="004060D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 xml:space="preserve">Број брисаних </w:t>
            </w:r>
            <w:proofErr w:type="spellStart"/>
            <w:r w:rsidRPr="00EC6422">
              <w:rPr>
                <w:rFonts w:ascii="Times New Roman" w:eastAsia="Calibri" w:hAnsi="Times New Roman" w:cs="Times New Roman"/>
                <w:sz w:val="20"/>
                <w:szCs w:val="20"/>
                <w:lang w:val="sr-Cyrl-BA"/>
              </w:rPr>
              <w:t>емитената</w:t>
            </w:r>
            <w:proofErr w:type="spellEnd"/>
          </w:p>
        </w:tc>
      </w:tr>
      <w:tr w:rsidR="005B21B1" w:rsidRPr="00EC6422" w14:paraId="01B1AD25"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560F0E2C" w14:textId="41F17216" w:rsidR="005B21B1" w:rsidRPr="00EC6422"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2018.</w:t>
            </w:r>
          </w:p>
        </w:tc>
        <w:tc>
          <w:tcPr>
            <w:tcW w:w="1681" w:type="dxa"/>
          </w:tcPr>
          <w:p w14:paraId="1A9F947D" w14:textId="66B29E4A" w:rsidR="005B21B1" w:rsidRPr="00EC6422"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FB7ADC">
              <w:rPr>
                <w:rFonts w:ascii="Times New Roman" w:eastAsia="Calibri" w:hAnsi="Times New Roman" w:cs="Times New Roman"/>
                <w:sz w:val="20"/>
                <w:szCs w:val="20"/>
                <w:lang w:val="sr-Cyrl-BA"/>
              </w:rPr>
              <w:t>5</w:t>
            </w:r>
          </w:p>
        </w:tc>
        <w:tc>
          <w:tcPr>
            <w:tcW w:w="1595" w:type="dxa"/>
          </w:tcPr>
          <w:p w14:paraId="77104577" w14:textId="6D6F7717" w:rsidR="005B21B1" w:rsidRPr="00EC6422"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FB7ADC">
              <w:rPr>
                <w:rFonts w:ascii="Times New Roman" w:eastAsia="Calibri" w:hAnsi="Times New Roman" w:cs="Times New Roman"/>
                <w:sz w:val="20"/>
                <w:szCs w:val="20"/>
                <w:lang w:val="sr-Cyrl-BA"/>
              </w:rPr>
              <w:t>130</w:t>
            </w:r>
          </w:p>
        </w:tc>
        <w:tc>
          <w:tcPr>
            <w:tcW w:w="1665" w:type="dxa"/>
          </w:tcPr>
          <w:p w14:paraId="4645E010" w14:textId="68389102" w:rsidR="005B21B1" w:rsidRPr="00EC6422"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FB7ADC">
              <w:rPr>
                <w:rFonts w:ascii="Times New Roman" w:eastAsia="Calibri" w:hAnsi="Times New Roman" w:cs="Times New Roman"/>
                <w:sz w:val="20"/>
                <w:szCs w:val="20"/>
                <w:lang w:val="sr-Cyrl-BA"/>
              </w:rPr>
              <w:t>26</w:t>
            </w:r>
          </w:p>
        </w:tc>
      </w:tr>
      <w:tr w:rsidR="005B21B1" w:rsidRPr="00EC6422" w14:paraId="70E56E33"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84C0410" w14:textId="5D1FEA0B" w:rsidR="005B21B1" w:rsidRPr="00EC6422"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en-US"/>
              </w:rPr>
              <w:t>2019.</w:t>
            </w:r>
          </w:p>
        </w:tc>
        <w:tc>
          <w:tcPr>
            <w:tcW w:w="1681" w:type="dxa"/>
          </w:tcPr>
          <w:p w14:paraId="3744A651" w14:textId="2C628C8D" w:rsidR="005B21B1" w:rsidRPr="00EC6422"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7</w:t>
            </w:r>
          </w:p>
        </w:tc>
        <w:tc>
          <w:tcPr>
            <w:tcW w:w="1595" w:type="dxa"/>
          </w:tcPr>
          <w:p w14:paraId="5FAD4D5C" w14:textId="5BB6CDEB" w:rsidR="005B21B1" w:rsidRPr="00EC6422"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93</w:t>
            </w:r>
          </w:p>
        </w:tc>
        <w:tc>
          <w:tcPr>
            <w:tcW w:w="1665" w:type="dxa"/>
          </w:tcPr>
          <w:p w14:paraId="167DBDC2" w14:textId="0F06A244" w:rsidR="005B21B1" w:rsidRPr="00EC6422"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23</w:t>
            </w:r>
          </w:p>
        </w:tc>
      </w:tr>
      <w:tr w:rsidR="005B21B1" w:rsidRPr="00EC6422" w14:paraId="0E628561"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FAF268E" w14:textId="0C8BC1C7" w:rsidR="005B21B1" w:rsidRPr="0027056D" w:rsidRDefault="005B21B1" w:rsidP="005B21B1">
            <w:pPr>
              <w:spacing w:after="0" w:line="240" w:lineRule="auto"/>
              <w:ind w:firstLine="0"/>
              <w:jc w:val="center"/>
              <w:rPr>
                <w:rFonts w:ascii="Times New Roman" w:eastAsia="Calibri" w:hAnsi="Times New Roman" w:cs="Times New Roman"/>
                <w:sz w:val="20"/>
                <w:szCs w:val="20"/>
                <w:lang w:val="en-US"/>
              </w:rPr>
            </w:pPr>
            <w:r w:rsidRPr="003A1210">
              <w:rPr>
                <w:rFonts w:ascii="Times New Roman" w:eastAsia="Calibri" w:hAnsi="Times New Roman" w:cs="Times New Roman"/>
                <w:sz w:val="20"/>
                <w:szCs w:val="20"/>
                <w:lang w:val="sr-Cyrl-BA"/>
              </w:rPr>
              <w:t>2020.</w:t>
            </w:r>
          </w:p>
        </w:tc>
        <w:tc>
          <w:tcPr>
            <w:tcW w:w="1681" w:type="dxa"/>
          </w:tcPr>
          <w:p w14:paraId="1D66EB3B" w14:textId="6895B62C" w:rsidR="005B21B1" w:rsidRPr="00FB7ADC"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7</w:t>
            </w:r>
          </w:p>
        </w:tc>
        <w:tc>
          <w:tcPr>
            <w:tcW w:w="1595" w:type="dxa"/>
          </w:tcPr>
          <w:p w14:paraId="105B0184" w14:textId="527AAFBE" w:rsidR="005B21B1" w:rsidRPr="00FB7ADC"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91</w:t>
            </w:r>
          </w:p>
        </w:tc>
        <w:tc>
          <w:tcPr>
            <w:tcW w:w="1665" w:type="dxa"/>
          </w:tcPr>
          <w:p w14:paraId="0E55D895" w14:textId="47B4EC3B" w:rsidR="005B21B1" w:rsidRPr="00FB7ADC"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16</w:t>
            </w:r>
          </w:p>
        </w:tc>
      </w:tr>
      <w:tr w:rsidR="005B21B1" w:rsidRPr="00EC6422" w14:paraId="69183FD4"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2CC1999B" w14:textId="02D775F8" w:rsidR="005B21B1" w:rsidRPr="003A1210" w:rsidRDefault="005B21B1" w:rsidP="005B21B1">
            <w:pPr>
              <w:spacing w:after="0" w:line="240" w:lineRule="auto"/>
              <w:ind w:firstLine="0"/>
              <w:jc w:val="center"/>
              <w:rPr>
                <w:rFonts w:ascii="Times New Roman" w:eastAsia="Calibri" w:hAnsi="Times New Roman" w:cs="Times New Roman"/>
                <w:sz w:val="20"/>
                <w:szCs w:val="20"/>
                <w:lang w:val="sr-Latn-BA"/>
              </w:rPr>
            </w:pPr>
            <w:r w:rsidRPr="004F7C5C">
              <w:rPr>
                <w:rFonts w:ascii="Times New Roman" w:eastAsia="Calibri" w:hAnsi="Times New Roman" w:cs="Times New Roman"/>
                <w:sz w:val="20"/>
                <w:szCs w:val="20"/>
                <w:lang w:val="sr-Cyrl-BA"/>
              </w:rPr>
              <w:t>2021.</w:t>
            </w:r>
          </w:p>
        </w:tc>
        <w:tc>
          <w:tcPr>
            <w:tcW w:w="1681" w:type="dxa"/>
          </w:tcPr>
          <w:p w14:paraId="1A2EAB8C" w14:textId="1ED5591A" w:rsidR="005B21B1" w:rsidRPr="003A1210"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10</w:t>
            </w:r>
          </w:p>
        </w:tc>
        <w:tc>
          <w:tcPr>
            <w:tcW w:w="1595" w:type="dxa"/>
          </w:tcPr>
          <w:p w14:paraId="0B77E457" w14:textId="79C80227" w:rsidR="005B21B1" w:rsidRPr="003A1210"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183</w:t>
            </w:r>
          </w:p>
        </w:tc>
        <w:tc>
          <w:tcPr>
            <w:tcW w:w="1665" w:type="dxa"/>
          </w:tcPr>
          <w:p w14:paraId="117FA637" w14:textId="09077C7F" w:rsidR="005B21B1" w:rsidRPr="003A1210"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30</w:t>
            </w:r>
          </w:p>
        </w:tc>
      </w:tr>
      <w:tr w:rsidR="005B21B1" w:rsidRPr="004F7C5C" w14:paraId="7A071536" w14:textId="77777777" w:rsidTr="000F3F68">
        <w:trPr>
          <w:cnfStyle w:val="000000100000" w:firstRow="0" w:lastRow="0" w:firstColumn="0" w:lastColumn="0" w:oddVBand="0" w:evenVBand="0" w:oddHBand="1" w:evenHBand="0"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1085" w:type="dxa"/>
          </w:tcPr>
          <w:p w14:paraId="307869B4" w14:textId="7F3FBE05" w:rsidR="005B21B1" w:rsidRPr="004F7C5C"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sr-Latn-BA"/>
              </w:rPr>
              <w:t>2022.</w:t>
            </w:r>
          </w:p>
        </w:tc>
        <w:tc>
          <w:tcPr>
            <w:tcW w:w="1681" w:type="dxa"/>
          </w:tcPr>
          <w:p w14:paraId="167BE99F" w14:textId="4B69B443" w:rsidR="005B21B1" w:rsidRPr="003B2FB7" w:rsidRDefault="005B21B1" w:rsidP="00CF6BE6">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8</w:t>
            </w:r>
          </w:p>
        </w:tc>
        <w:tc>
          <w:tcPr>
            <w:tcW w:w="1595" w:type="dxa"/>
          </w:tcPr>
          <w:p w14:paraId="2ABE3A53" w14:textId="31353E4A" w:rsidR="005B21B1" w:rsidRPr="003B2FB7"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173</w:t>
            </w:r>
          </w:p>
        </w:tc>
        <w:tc>
          <w:tcPr>
            <w:tcW w:w="1665" w:type="dxa"/>
          </w:tcPr>
          <w:p w14:paraId="5ED05984" w14:textId="62A36F74" w:rsidR="005B21B1" w:rsidRPr="003B2FB7"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34</w:t>
            </w:r>
          </w:p>
        </w:tc>
      </w:tr>
      <w:tr w:rsidR="005B21B1" w:rsidRPr="00EC6422" w14:paraId="50780449"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3BAA1991" w14:textId="75DF6059" w:rsidR="005B21B1" w:rsidRPr="005B21B1"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2023.</w:t>
            </w:r>
          </w:p>
        </w:tc>
        <w:tc>
          <w:tcPr>
            <w:tcW w:w="1681" w:type="dxa"/>
          </w:tcPr>
          <w:p w14:paraId="07A3A6F9" w14:textId="188C9EFC" w:rsidR="005B21B1"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2</w:t>
            </w:r>
          </w:p>
        </w:tc>
        <w:tc>
          <w:tcPr>
            <w:tcW w:w="1595" w:type="dxa"/>
          </w:tcPr>
          <w:p w14:paraId="2C494306" w14:textId="058BF4F0" w:rsidR="005B21B1"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106</w:t>
            </w:r>
          </w:p>
        </w:tc>
        <w:tc>
          <w:tcPr>
            <w:tcW w:w="1665" w:type="dxa"/>
          </w:tcPr>
          <w:p w14:paraId="119D093C" w14:textId="71D401DF" w:rsidR="005B21B1"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11</w:t>
            </w:r>
          </w:p>
        </w:tc>
      </w:tr>
      <w:tr w:rsidR="005B21B1" w:rsidRPr="00EC6422" w14:paraId="289E4484" w14:textId="77777777" w:rsidTr="0066171A">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21CE24F1" w14:textId="315BC56A" w:rsidR="005B21B1" w:rsidRPr="00EC6422" w:rsidRDefault="005B21B1" w:rsidP="005B21B1">
            <w:pPr>
              <w:spacing w:after="0" w:line="240" w:lineRule="auto"/>
              <w:ind w:firstLine="0"/>
              <w:jc w:val="center"/>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Укупно</w:t>
            </w:r>
          </w:p>
        </w:tc>
        <w:tc>
          <w:tcPr>
            <w:tcW w:w="1681" w:type="dxa"/>
            <w:vAlign w:val="center"/>
          </w:tcPr>
          <w:p w14:paraId="7C6BE7F2" w14:textId="6F8E5BFC" w:rsidR="005B21B1" w:rsidRDefault="005B21B1" w:rsidP="005B21B1">
            <w:pPr>
              <w:tabs>
                <w:tab w:val="decimal" w:pos="829"/>
              </w:tabs>
              <w:spacing w:after="0" w:line="240" w:lineRule="auto"/>
              <w:ind w:right="38"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Pr>
                <w:rFonts w:ascii="Times New Roman" w:eastAsia="Calibri" w:hAnsi="Times New Roman" w:cs="Times New Roman"/>
                <w:noProof/>
                <w:sz w:val="20"/>
                <w:szCs w:val="20"/>
                <w:lang w:val="sr-Cyrl-BA"/>
              </w:rPr>
              <w:t>37</w:t>
            </w:r>
            <w:r>
              <w:rPr>
                <w:rFonts w:eastAsia="Calibri"/>
                <w:sz w:val="20"/>
                <w:szCs w:val="20"/>
                <w:lang w:val="sr-Cyrl-BA"/>
              </w:rPr>
              <w:fldChar w:fldCharType="end"/>
            </w:r>
          </w:p>
        </w:tc>
        <w:tc>
          <w:tcPr>
            <w:tcW w:w="1595" w:type="dxa"/>
            <w:vAlign w:val="center"/>
          </w:tcPr>
          <w:p w14:paraId="52AE2A2C" w14:textId="00BE0679" w:rsidR="005B21B1" w:rsidRDefault="005B21B1" w:rsidP="005B21B1">
            <w:pPr>
              <w:tabs>
                <w:tab w:val="decimal" w:pos="90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Pr>
                <w:rFonts w:ascii="Times New Roman" w:eastAsia="Calibri" w:hAnsi="Times New Roman" w:cs="Times New Roman"/>
                <w:noProof/>
                <w:sz w:val="20"/>
                <w:szCs w:val="20"/>
                <w:lang w:val="sr-Cyrl-BA"/>
              </w:rPr>
              <w:t>776</w:t>
            </w:r>
            <w:r>
              <w:rPr>
                <w:rFonts w:eastAsia="Calibri"/>
                <w:sz w:val="20"/>
                <w:szCs w:val="20"/>
                <w:lang w:val="sr-Cyrl-BA"/>
              </w:rPr>
              <w:fldChar w:fldCharType="end"/>
            </w:r>
          </w:p>
        </w:tc>
        <w:tc>
          <w:tcPr>
            <w:tcW w:w="1665" w:type="dxa"/>
            <w:vAlign w:val="center"/>
          </w:tcPr>
          <w:p w14:paraId="7E94AC2D" w14:textId="64F6AF52" w:rsidR="005B21B1" w:rsidRDefault="005B21B1" w:rsidP="005B21B1">
            <w:pPr>
              <w:tabs>
                <w:tab w:val="decimal" w:pos="884"/>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Pr>
                <w:rFonts w:ascii="Times New Roman" w:eastAsia="Calibri" w:hAnsi="Times New Roman" w:cs="Times New Roman"/>
                <w:noProof/>
                <w:sz w:val="20"/>
                <w:szCs w:val="20"/>
                <w:lang w:val="sr-Cyrl-BA"/>
              </w:rPr>
              <w:t>140</w:t>
            </w:r>
            <w:r>
              <w:rPr>
                <w:rFonts w:eastAsia="Calibri"/>
                <w:sz w:val="20"/>
                <w:szCs w:val="20"/>
                <w:lang w:val="sr-Cyrl-BA"/>
              </w:rPr>
              <w:fldChar w:fldCharType="end"/>
            </w:r>
          </w:p>
        </w:tc>
      </w:tr>
    </w:tbl>
    <w:p w14:paraId="6F22DC76" w14:textId="553F19E9" w:rsidR="00523120" w:rsidRDefault="004957BF" w:rsidP="006B6E0C">
      <w:pPr>
        <w:pStyle w:val="Caption"/>
        <w:tabs>
          <w:tab w:val="left" w:pos="1276"/>
        </w:tabs>
        <w:spacing w:after="0"/>
        <w:ind w:left="1276" w:hanging="1276"/>
        <w:jc w:val="both"/>
        <w:rPr>
          <w:rFonts w:ascii="Times New Roman" w:hAnsi="Times New Roman"/>
          <w:b w:val="0"/>
          <w:sz w:val="24"/>
          <w:szCs w:val="24"/>
          <w:lang w:val="sr-Cyrl-BA"/>
        </w:rPr>
      </w:pPr>
      <w:r w:rsidRPr="005B21B1">
        <w:rPr>
          <w:rFonts w:ascii="Times New Roman" w:hAnsi="Times New Roman"/>
          <w:sz w:val="24"/>
          <w:szCs w:val="24"/>
          <w:lang w:val="sr-Cyrl-BA"/>
        </w:rPr>
        <w:t xml:space="preserve">Табела </w:t>
      </w:r>
      <w:r w:rsidR="00D3478F" w:rsidRPr="005B21B1">
        <w:rPr>
          <w:rFonts w:ascii="Times New Roman" w:hAnsi="Times New Roman"/>
          <w:sz w:val="24"/>
          <w:szCs w:val="24"/>
          <w:lang w:val="sr-Cyrl-BA"/>
        </w:rPr>
        <w:fldChar w:fldCharType="begin"/>
      </w:r>
      <w:r w:rsidRPr="005B21B1">
        <w:rPr>
          <w:rFonts w:ascii="Times New Roman" w:hAnsi="Times New Roman"/>
          <w:sz w:val="24"/>
          <w:szCs w:val="24"/>
          <w:lang w:val="sr-Cyrl-BA"/>
        </w:rPr>
        <w:instrText xml:space="preserve"> SEQ Табела \* ARABIC </w:instrText>
      </w:r>
      <w:r w:rsidR="00D3478F" w:rsidRPr="005B21B1">
        <w:rPr>
          <w:rFonts w:ascii="Times New Roman" w:hAnsi="Times New Roman"/>
          <w:sz w:val="24"/>
          <w:szCs w:val="24"/>
          <w:lang w:val="sr-Cyrl-BA"/>
        </w:rPr>
        <w:fldChar w:fldCharType="separate"/>
      </w:r>
      <w:r w:rsidR="00C64B5B">
        <w:rPr>
          <w:rFonts w:ascii="Times New Roman" w:hAnsi="Times New Roman"/>
          <w:noProof/>
          <w:sz w:val="24"/>
          <w:szCs w:val="24"/>
          <w:lang w:val="sr-Cyrl-BA"/>
        </w:rPr>
        <w:t>4</w:t>
      </w:r>
      <w:r w:rsidR="00D3478F" w:rsidRPr="005B21B1">
        <w:rPr>
          <w:rFonts w:ascii="Times New Roman" w:hAnsi="Times New Roman"/>
          <w:sz w:val="24"/>
          <w:szCs w:val="24"/>
          <w:lang w:val="sr-Cyrl-BA"/>
        </w:rPr>
        <w:fldChar w:fldCharType="end"/>
      </w:r>
      <w:r w:rsidRPr="005B21B1">
        <w:rPr>
          <w:rFonts w:ascii="Times New Roman" w:hAnsi="Times New Roman"/>
          <w:sz w:val="24"/>
          <w:szCs w:val="24"/>
          <w:lang w:val="sr-Cyrl-BA"/>
        </w:rPr>
        <w:t>.</w:t>
      </w:r>
      <w:r w:rsidRPr="005B21B1">
        <w:rPr>
          <w:rFonts w:ascii="Times New Roman" w:hAnsi="Times New Roman"/>
          <w:sz w:val="24"/>
          <w:szCs w:val="24"/>
          <w:lang w:val="sr-Cyrl-BA"/>
        </w:rPr>
        <w:tab/>
      </w:r>
      <w:r w:rsidRPr="005B21B1">
        <w:rPr>
          <w:rFonts w:ascii="Times New Roman" w:hAnsi="Times New Roman"/>
          <w:b w:val="0"/>
          <w:sz w:val="24"/>
          <w:szCs w:val="24"/>
          <w:lang w:val="sr-Cyrl-BA"/>
        </w:rPr>
        <w:t xml:space="preserve">Упоредни </w:t>
      </w:r>
      <w:proofErr w:type="spellStart"/>
      <w:r w:rsidRPr="005B21B1">
        <w:rPr>
          <w:rFonts w:ascii="Times New Roman" w:hAnsi="Times New Roman"/>
          <w:b w:val="0"/>
          <w:sz w:val="24"/>
          <w:szCs w:val="24"/>
          <w:lang w:val="sr-Cyrl-BA"/>
        </w:rPr>
        <w:t>преглед</w:t>
      </w:r>
      <w:proofErr w:type="spellEnd"/>
      <w:r w:rsidRPr="005B21B1">
        <w:rPr>
          <w:rFonts w:ascii="Times New Roman" w:hAnsi="Times New Roman"/>
          <w:b w:val="0"/>
          <w:sz w:val="24"/>
          <w:szCs w:val="24"/>
          <w:lang w:val="sr-Cyrl-BA"/>
        </w:rPr>
        <w:t xml:space="preserve"> </w:t>
      </w:r>
      <w:r w:rsidRPr="005B21B1">
        <w:rPr>
          <w:rFonts w:ascii="Times New Roman" w:hAnsi="Times New Roman"/>
          <w:b w:val="0"/>
          <w:sz w:val="24"/>
          <w:lang w:val="sr-Cyrl-BA"/>
        </w:rPr>
        <w:t>евиденција</w:t>
      </w:r>
      <w:r w:rsidRPr="005B21B1">
        <w:rPr>
          <w:rFonts w:ascii="Times New Roman" w:hAnsi="Times New Roman"/>
          <w:b w:val="0"/>
          <w:sz w:val="24"/>
          <w:szCs w:val="24"/>
          <w:lang w:val="sr-Cyrl-BA"/>
        </w:rPr>
        <w:t xml:space="preserve"> података у регистру </w:t>
      </w:r>
      <w:proofErr w:type="spellStart"/>
      <w:r w:rsidRPr="005B21B1">
        <w:rPr>
          <w:rFonts w:ascii="Times New Roman" w:hAnsi="Times New Roman"/>
          <w:b w:val="0"/>
          <w:sz w:val="24"/>
          <w:szCs w:val="24"/>
          <w:lang w:val="sr-Cyrl-BA"/>
        </w:rPr>
        <w:t>емитената</w:t>
      </w:r>
      <w:proofErr w:type="spellEnd"/>
      <w:r w:rsidRPr="005B21B1">
        <w:rPr>
          <w:rFonts w:ascii="Times New Roman" w:hAnsi="Times New Roman"/>
          <w:b w:val="0"/>
          <w:sz w:val="24"/>
          <w:szCs w:val="24"/>
          <w:lang w:val="sr-Cyrl-BA"/>
        </w:rPr>
        <w:t xml:space="preserve"> у периоду од </w:t>
      </w:r>
      <w:r w:rsidR="005B21B1" w:rsidRPr="005B21B1">
        <w:rPr>
          <w:rFonts w:ascii="Times New Roman" w:hAnsi="Times New Roman"/>
          <w:b w:val="0"/>
          <w:sz w:val="24"/>
          <w:szCs w:val="24"/>
          <w:lang w:val="sr-Cyrl-BA"/>
        </w:rPr>
        <w:t>2018</w:t>
      </w:r>
      <w:r w:rsidRPr="005B21B1">
        <w:rPr>
          <w:rFonts w:ascii="Times New Roman" w:hAnsi="Times New Roman"/>
          <w:b w:val="0"/>
          <w:sz w:val="24"/>
          <w:szCs w:val="24"/>
          <w:lang w:val="sr-Cyrl-BA"/>
        </w:rPr>
        <w:t xml:space="preserve">. до </w:t>
      </w:r>
      <w:r w:rsidR="0027056D" w:rsidRPr="005B21B1">
        <w:rPr>
          <w:rFonts w:ascii="Times New Roman" w:hAnsi="Times New Roman"/>
          <w:b w:val="0"/>
          <w:sz w:val="24"/>
          <w:szCs w:val="24"/>
          <w:lang w:val="en-US"/>
        </w:rPr>
        <w:t>31.12.</w:t>
      </w:r>
      <w:r w:rsidR="003A1210" w:rsidRPr="005B21B1">
        <w:rPr>
          <w:rFonts w:ascii="Times New Roman" w:hAnsi="Times New Roman"/>
          <w:b w:val="0"/>
          <w:sz w:val="24"/>
          <w:szCs w:val="24"/>
          <w:lang w:val="sr-Cyrl-BA"/>
        </w:rPr>
        <w:t>202</w:t>
      </w:r>
      <w:r w:rsidR="005B21B1" w:rsidRPr="005B21B1">
        <w:rPr>
          <w:rFonts w:ascii="Times New Roman" w:hAnsi="Times New Roman"/>
          <w:b w:val="0"/>
          <w:sz w:val="24"/>
          <w:szCs w:val="24"/>
          <w:lang w:val="sr-Cyrl-BA"/>
        </w:rPr>
        <w:t>3</w:t>
      </w:r>
      <w:r w:rsidRPr="005B21B1">
        <w:rPr>
          <w:rFonts w:ascii="Times New Roman" w:hAnsi="Times New Roman"/>
          <w:b w:val="0"/>
          <w:sz w:val="24"/>
          <w:szCs w:val="24"/>
          <w:lang w:val="sr-Cyrl-BA"/>
        </w:rPr>
        <w:t>. године</w:t>
      </w:r>
      <w:bookmarkStart w:id="37" w:name="_Toc194970094"/>
      <w:bookmarkStart w:id="38" w:name="_Toc194970125"/>
      <w:bookmarkStart w:id="39" w:name="_Toc321408891"/>
    </w:p>
    <w:p w14:paraId="168D0C02" w14:textId="0472F9A5" w:rsidR="0053265D" w:rsidRDefault="0053265D" w:rsidP="0053265D">
      <w:pPr>
        <w:rPr>
          <w:rFonts w:eastAsia="Calibri"/>
          <w:lang w:val="sr-Cyrl-BA"/>
        </w:rPr>
      </w:pPr>
      <w:r w:rsidRPr="0053265D">
        <w:rPr>
          <w:bCs/>
          <w:lang w:val="sr-Cyrl-BA"/>
        </w:rPr>
        <w:t xml:space="preserve">У складу са </w:t>
      </w:r>
      <w:r>
        <w:rPr>
          <w:bCs/>
          <w:lang w:val="sr-Cyrl-BA"/>
        </w:rPr>
        <w:t xml:space="preserve">Законом о тржишту хартија од вриједности, Комисија је овлашћена да </w:t>
      </w:r>
      <w:r>
        <w:rPr>
          <w:rFonts w:eastAsia="Calibri"/>
          <w:lang w:val="sr-Cyrl-BA"/>
        </w:rPr>
        <w:t xml:space="preserve">води евиденцију </w:t>
      </w:r>
      <w:proofErr w:type="spellStart"/>
      <w:r>
        <w:rPr>
          <w:rFonts w:eastAsia="Calibri"/>
          <w:lang w:val="sr-Cyrl-BA"/>
        </w:rPr>
        <w:t>пружалаца</w:t>
      </w:r>
      <w:proofErr w:type="spellEnd"/>
      <w:r>
        <w:rPr>
          <w:rFonts w:eastAsia="Calibri"/>
          <w:lang w:val="sr-Cyrl-BA"/>
        </w:rPr>
        <w:t xml:space="preserve"> услуга повезаних са виртуелним валутама. </w:t>
      </w:r>
    </w:p>
    <w:tbl>
      <w:tblPr>
        <w:tblStyle w:val="LightGrid-Accent11"/>
        <w:tblW w:w="5953" w:type="dxa"/>
        <w:tblInd w:w="1668" w:type="dxa"/>
        <w:tblLayout w:type="fixed"/>
        <w:tblLook w:val="0420" w:firstRow="1" w:lastRow="0" w:firstColumn="0" w:lastColumn="0" w:noHBand="0" w:noVBand="1"/>
      </w:tblPr>
      <w:tblGrid>
        <w:gridCol w:w="5953"/>
      </w:tblGrid>
      <w:tr w:rsidR="0053265D" w:rsidRPr="001F0CAD" w14:paraId="13D36FE7" w14:textId="77777777" w:rsidTr="0053265D">
        <w:trPr>
          <w:cnfStyle w:val="100000000000" w:firstRow="1" w:lastRow="0" w:firstColumn="0" w:lastColumn="0" w:oddVBand="0" w:evenVBand="0" w:oddHBand="0" w:evenHBand="0" w:firstRowFirstColumn="0" w:firstRowLastColumn="0" w:lastRowFirstColumn="0" w:lastRowLastColumn="0"/>
          <w:trHeight w:val="280"/>
        </w:trPr>
        <w:tc>
          <w:tcPr>
            <w:tcW w:w="5953" w:type="dxa"/>
            <w:hideMark/>
          </w:tcPr>
          <w:p w14:paraId="01E39B8F" w14:textId="77777777" w:rsidR="0053265D" w:rsidRPr="001F0CAD" w:rsidRDefault="0053265D" w:rsidP="00EA25C2">
            <w:pPr>
              <w:spacing w:line="240" w:lineRule="auto"/>
              <w:ind w:firstLine="0"/>
              <w:rPr>
                <w:rFonts w:ascii="Times New Roman" w:eastAsia="Times New Roman" w:hAnsi="Times New Roman" w:cs="Times New Roman"/>
                <w:sz w:val="20"/>
                <w:szCs w:val="20"/>
                <w:lang w:val="sr-Cyrl-BA" w:eastAsia="sr-Latn-CS"/>
              </w:rPr>
            </w:pPr>
            <w:r w:rsidRPr="001F0CAD">
              <w:rPr>
                <w:rFonts w:ascii="Times New Roman" w:hAnsi="Times New Roman" w:cs="Times New Roman"/>
                <w:sz w:val="20"/>
                <w:szCs w:val="20"/>
                <w:lang w:val="sr-Cyrl-BA"/>
              </w:rPr>
              <w:br w:type="page"/>
            </w:r>
            <w:r w:rsidRPr="001F0CAD">
              <w:rPr>
                <w:rFonts w:ascii="Times New Roman" w:eastAsia="Times New Roman" w:hAnsi="Times New Roman" w:cs="Times New Roman"/>
                <w:sz w:val="20"/>
                <w:szCs w:val="20"/>
                <w:lang w:val="sr-Cyrl-BA" w:eastAsia="sr-Latn-CS"/>
              </w:rPr>
              <w:t xml:space="preserve">Назив </w:t>
            </w:r>
          </w:p>
        </w:tc>
      </w:tr>
      <w:tr w:rsidR="0053265D" w:rsidRPr="001F0CAD" w14:paraId="7F3E7D38" w14:textId="77777777" w:rsidTr="0053265D">
        <w:trPr>
          <w:cnfStyle w:val="000000100000" w:firstRow="0" w:lastRow="0" w:firstColumn="0" w:lastColumn="0" w:oddVBand="0" w:evenVBand="0" w:oddHBand="1" w:evenHBand="0" w:firstRowFirstColumn="0" w:firstRowLastColumn="0" w:lastRowFirstColumn="0" w:lastRowLastColumn="0"/>
          <w:trHeight w:val="237"/>
        </w:trPr>
        <w:tc>
          <w:tcPr>
            <w:tcW w:w="5953" w:type="dxa"/>
            <w:hideMark/>
          </w:tcPr>
          <w:p w14:paraId="3178B82E" w14:textId="77777777" w:rsidR="0053265D" w:rsidRPr="00DB5F5C" w:rsidRDefault="0053265D" w:rsidP="00EA25C2">
            <w:pPr>
              <w:spacing w:after="60" w:line="240" w:lineRule="auto"/>
              <w:ind w:firstLine="0"/>
              <w:rPr>
                <w:rFonts w:ascii="Times New Roman" w:eastAsia="Times New Roman" w:hAnsi="Times New Roman" w:cs="Times New Roman"/>
                <w:sz w:val="20"/>
                <w:szCs w:val="20"/>
                <w:lang w:val="sr-Cyrl-BA" w:eastAsia="sr-Latn-CS"/>
              </w:rPr>
            </w:pPr>
            <w:r>
              <w:rPr>
                <w:rFonts w:ascii="Times New Roman" w:hAnsi="Times New Roman"/>
                <w:sz w:val="22"/>
                <w:lang w:val="sr-Cyrl-BA"/>
              </w:rPr>
              <w:t>„</w:t>
            </w:r>
            <w:r>
              <w:rPr>
                <w:rFonts w:ascii="Times New Roman" w:hAnsi="Times New Roman"/>
                <w:sz w:val="22"/>
                <w:lang w:val="sr-Latn-BA"/>
              </w:rPr>
              <w:t>Digital Asset Management</w:t>
            </w:r>
            <w:r>
              <w:rPr>
                <w:rFonts w:ascii="Times New Roman" w:hAnsi="Times New Roman"/>
                <w:sz w:val="22"/>
                <w:lang w:val="sr-Cyrl-BA"/>
              </w:rPr>
              <w:t xml:space="preserv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r>
              <w:rPr>
                <w:rFonts w:ascii="Times New Roman" w:hAnsi="Times New Roman"/>
                <w:sz w:val="22"/>
                <w:lang w:val="sr-Latn-BA"/>
              </w:rPr>
              <w:t xml:space="preserve"> </w:t>
            </w:r>
          </w:p>
        </w:tc>
      </w:tr>
      <w:tr w:rsidR="0053265D" w:rsidRPr="001F0CAD" w14:paraId="6E5A0B89" w14:textId="77777777" w:rsidTr="0053265D">
        <w:trPr>
          <w:cnfStyle w:val="000000010000" w:firstRow="0" w:lastRow="0" w:firstColumn="0" w:lastColumn="0" w:oddVBand="0" w:evenVBand="0" w:oddHBand="0" w:evenHBand="1" w:firstRowFirstColumn="0" w:firstRowLastColumn="0" w:lastRowFirstColumn="0" w:lastRowLastColumn="0"/>
          <w:trHeight w:val="237"/>
        </w:trPr>
        <w:tc>
          <w:tcPr>
            <w:tcW w:w="5953" w:type="dxa"/>
          </w:tcPr>
          <w:p w14:paraId="1B56DC9C" w14:textId="77777777" w:rsidR="0053265D" w:rsidRPr="00DB5F5C" w:rsidRDefault="0053265D" w:rsidP="00EA25C2">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Tesla Trade“ </w:t>
            </w:r>
            <w:proofErr w:type="spellStart"/>
            <w:r>
              <w:rPr>
                <w:rFonts w:ascii="Times New Roman" w:hAnsi="Times New Roman"/>
                <w:sz w:val="22"/>
                <w:lang w:val="sr-Cyrl-BA"/>
              </w:rPr>
              <w:t>д.о.о</w:t>
            </w:r>
            <w:proofErr w:type="spellEnd"/>
            <w:r>
              <w:rPr>
                <w:rFonts w:ascii="Times New Roman" w:hAnsi="Times New Roman"/>
                <w:sz w:val="22"/>
                <w:lang w:val="sr-Cyrl-BA"/>
              </w:rPr>
              <w:t>. Бијељина</w:t>
            </w:r>
          </w:p>
        </w:tc>
      </w:tr>
      <w:tr w:rsidR="0053265D" w:rsidRPr="001F0CAD" w14:paraId="40C3983E" w14:textId="77777777" w:rsidTr="0053265D">
        <w:trPr>
          <w:cnfStyle w:val="000000100000" w:firstRow="0" w:lastRow="0" w:firstColumn="0" w:lastColumn="0" w:oddVBand="0" w:evenVBand="0" w:oddHBand="1" w:evenHBand="0" w:firstRowFirstColumn="0" w:firstRowLastColumn="0" w:lastRowFirstColumn="0" w:lastRowLastColumn="0"/>
          <w:trHeight w:val="237"/>
        </w:trPr>
        <w:tc>
          <w:tcPr>
            <w:tcW w:w="5953" w:type="dxa"/>
          </w:tcPr>
          <w:p w14:paraId="0F796FD3" w14:textId="77777777" w:rsidR="0053265D" w:rsidRPr="00DB5F5C" w:rsidRDefault="0053265D" w:rsidP="00EA25C2">
            <w:pPr>
              <w:spacing w:after="60" w:line="240" w:lineRule="auto"/>
              <w:ind w:firstLine="0"/>
              <w:rPr>
                <w:rFonts w:ascii="Times New Roman" w:hAnsi="Times New Roman"/>
                <w:sz w:val="22"/>
                <w:lang w:val="sr-Cyrl-BA"/>
              </w:rPr>
            </w:pPr>
            <w:r>
              <w:rPr>
                <w:rFonts w:ascii="Times New Roman" w:hAnsi="Times New Roman"/>
                <w:sz w:val="22"/>
                <w:lang w:val="sr-Latn-BA"/>
              </w:rPr>
              <w:t xml:space="preserve">„Digital Crypto Exchange“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r>
      <w:tr w:rsidR="0053265D" w:rsidRPr="001F0CAD" w14:paraId="61AA6B97" w14:textId="77777777" w:rsidTr="0053265D">
        <w:trPr>
          <w:cnfStyle w:val="000000010000" w:firstRow="0" w:lastRow="0" w:firstColumn="0" w:lastColumn="0" w:oddVBand="0" w:evenVBand="0" w:oddHBand="0" w:evenHBand="1" w:firstRowFirstColumn="0" w:firstRowLastColumn="0" w:lastRowFirstColumn="0" w:lastRowLastColumn="0"/>
          <w:trHeight w:val="237"/>
        </w:trPr>
        <w:tc>
          <w:tcPr>
            <w:tcW w:w="5953" w:type="dxa"/>
          </w:tcPr>
          <w:p w14:paraId="2AB44AE8" w14:textId="77777777" w:rsidR="0053265D" w:rsidRPr="00DB5F5C" w:rsidRDefault="0053265D" w:rsidP="00EA25C2">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Crypto Trading Management Servis“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r>
    </w:tbl>
    <w:p w14:paraId="49DFE9C3" w14:textId="5800FFBD" w:rsidR="0053265D" w:rsidRPr="0053265D" w:rsidRDefault="0053265D" w:rsidP="0053265D">
      <w:pPr>
        <w:pStyle w:val="Caption"/>
        <w:tabs>
          <w:tab w:val="left" w:pos="1276"/>
        </w:tabs>
        <w:spacing w:after="0"/>
        <w:ind w:left="1276" w:hanging="1276"/>
        <w:jc w:val="both"/>
        <w:rPr>
          <w:lang w:val="sr-Cyrl-BA"/>
        </w:rPr>
      </w:pPr>
      <w:r w:rsidRPr="005B21B1">
        <w:rPr>
          <w:rFonts w:ascii="Times New Roman" w:hAnsi="Times New Roman"/>
          <w:sz w:val="24"/>
          <w:szCs w:val="24"/>
          <w:lang w:val="sr-Cyrl-BA"/>
        </w:rPr>
        <w:t xml:space="preserve">Табела </w:t>
      </w:r>
      <w:r w:rsidRPr="005B21B1">
        <w:rPr>
          <w:rFonts w:ascii="Times New Roman" w:hAnsi="Times New Roman"/>
          <w:sz w:val="24"/>
          <w:szCs w:val="24"/>
          <w:lang w:val="sr-Cyrl-BA"/>
        </w:rPr>
        <w:fldChar w:fldCharType="begin"/>
      </w:r>
      <w:r w:rsidRPr="005B21B1">
        <w:rPr>
          <w:rFonts w:ascii="Times New Roman" w:hAnsi="Times New Roman"/>
          <w:sz w:val="24"/>
          <w:szCs w:val="24"/>
          <w:lang w:val="sr-Cyrl-BA"/>
        </w:rPr>
        <w:instrText xml:space="preserve"> SEQ Табела \* ARABIC </w:instrText>
      </w:r>
      <w:r w:rsidRPr="005B21B1">
        <w:rPr>
          <w:rFonts w:ascii="Times New Roman" w:hAnsi="Times New Roman"/>
          <w:sz w:val="24"/>
          <w:szCs w:val="24"/>
          <w:lang w:val="sr-Cyrl-BA"/>
        </w:rPr>
        <w:fldChar w:fldCharType="separate"/>
      </w:r>
      <w:r w:rsidR="00C64B5B">
        <w:rPr>
          <w:rFonts w:ascii="Times New Roman" w:hAnsi="Times New Roman"/>
          <w:noProof/>
          <w:sz w:val="24"/>
          <w:szCs w:val="24"/>
          <w:lang w:val="sr-Cyrl-BA"/>
        </w:rPr>
        <w:t>5</w:t>
      </w:r>
      <w:r w:rsidRPr="005B21B1">
        <w:rPr>
          <w:rFonts w:ascii="Times New Roman" w:hAnsi="Times New Roman"/>
          <w:sz w:val="24"/>
          <w:szCs w:val="24"/>
          <w:lang w:val="sr-Cyrl-BA"/>
        </w:rPr>
        <w:fldChar w:fldCharType="end"/>
      </w:r>
      <w:r w:rsidRPr="005B21B1">
        <w:rPr>
          <w:rFonts w:ascii="Times New Roman" w:hAnsi="Times New Roman"/>
          <w:sz w:val="24"/>
          <w:szCs w:val="24"/>
          <w:lang w:val="sr-Cyrl-BA"/>
        </w:rPr>
        <w:t>.</w:t>
      </w:r>
      <w:r w:rsidRPr="005B21B1">
        <w:rPr>
          <w:rFonts w:ascii="Times New Roman" w:hAnsi="Times New Roman"/>
          <w:sz w:val="24"/>
          <w:szCs w:val="24"/>
          <w:lang w:val="sr-Cyrl-BA"/>
        </w:rPr>
        <w:tab/>
      </w:r>
      <w:r w:rsidRPr="001F0CAD">
        <w:rPr>
          <w:rFonts w:ascii="Times New Roman" w:hAnsi="Times New Roman"/>
          <w:b w:val="0"/>
          <w:noProof/>
          <w:sz w:val="24"/>
          <w:szCs w:val="24"/>
          <w:lang w:val="sr-Cyrl-BA"/>
        </w:rPr>
        <w:t xml:space="preserve">Преглед </w:t>
      </w:r>
      <w:r>
        <w:rPr>
          <w:rFonts w:ascii="Times New Roman" w:hAnsi="Times New Roman"/>
          <w:b w:val="0"/>
          <w:noProof/>
          <w:sz w:val="24"/>
          <w:szCs w:val="24"/>
          <w:lang w:val="sr-Cyrl-BA"/>
        </w:rPr>
        <w:t xml:space="preserve">пружалаца услуга повезаних са виртуелним валутама </w:t>
      </w:r>
      <w:r w:rsidRPr="001F0CAD">
        <w:rPr>
          <w:rFonts w:ascii="Times New Roman" w:hAnsi="Times New Roman"/>
          <w:b w:val="0"/>
          <w:noProof/>
          <w:sz w:val="24"/>
          <w:szCs w:val="24"/>
          <w:lang w:val="sr-Cyrl-BA"/>
        </w:rPr>
        <w:t xml:space="preserve">на дан </w:t>
      </w:r>
      <w:r>
        <w:rPr>
          <w:rFonts w:ascii="Times New Roman" w:hAnsi="Times New Roman"/>
          <w:b w:val="0"/>
          <w:noProof/>
          <w:sz w:val="24"/>
          <w:szCs w:val="24"/>
          <w:lang w:val="sr-Cyrl-BA"/>
        </w:rPr>
        <w:t>31.12.2023</w:t>
      </w:r>
      <w:r w:rsidRPr="001F0CAD">
        <w:rPr>
          <w:rFonts w:ascii="Times New Roman" w:hAnsi="Times New Roman"/>
          <w:b w:val="0"/>
          <w:noProof/>
          <w:sz w:val="24"/>
          <w:szCs w:val="24"/>
          <w:lang w:val="sr-Cyrl-BA"/>
        </w:rPr>
        <w:t>. године</w:t>
      </w:r>
    </w:p>
    <w:p w14:paraId="2F2671E7"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40" w:name="_Toc167960425"/>
      <w:r w:rsidRPr="00EC6422">
        <w:rPr>
          <w:rFonts w:ascii="Times New Roman" w:hAnsi="Times New Roman"/>
          <w:caps w:val="0"/>
          <w:color w:val="002060"/>
          <w:lang w:val="sr-Cyrl-BA"/>
        </w:rPr>
        <w:t>ЕМИСИЈА ХАРТИЈА ОД ВРИЈЕДНОСТИ</w:t>
      </w:r>
      <w:bookmarkEnd w:id="37"/>
      <w:bookmarkEnd w:id="38"/>
      <w:bookmarkEnd w:id="39"/>
      <w:bookmarkEnd w:id="40"/>
    </w:p>
    <w:p w14:paraId="06596974" w14:textId="77777777" w:rsidR="006F19FB" w:rsidRPr="006F19FB" w:rsidRDefault="006F19FB" w:rsidP="006F19FB">
      <w:pPr>
        <w:spacing w:after="0" w:line="240" w:lineRule="auto"/>
        <w:ind w:firstLine="567"/>
        <w:rPr>
          <w:lang w:val="sr-Cyrl-BA"/>
        </w:rPr>
      </w:pPr>
      <w:bookmarkStart w:id="41" w:name="OLE_LINK88"/>
      <w:r w:rsidRPr="006F19FB">
        <w:rPr>
          <w:lang w:val="sr-Cyrl-BA"/>
        </w:rPr>
        <w:t xml:space="preserve">Поступак емисије подразумијева скуп радњи које </w:t>
      </w:r>
      <w:proofErr w:type="spellStart"/>
      <w:r w:rsidRPr="006F19FB">
        <w:rPr>
          <w:lang w:val="sr-Cyrl-BA"/>
        </w:rPr>
        <w:t>емитент</w:t>
      </w:r>
      <w:proofErr w:type="spellEnd"/>
      <w:r w:rsidRPr="006F19FB">
        <w:rPr>
          <w:lang w:val="sr-Cyrl-BA"/>
        </w:rPr>
        <w:t xml:space="preserve"> предузима у сврху прикупљања средстава продајом хартија од вриједности првим имаоцима, уз обавезу да сваком од њих омогући остваривање права из хартије од вриједности коју емитује.</w:t>
      </w:r>
    </w:p>
    <w:p w14:paraId="2F2F4CAD" w14:textId="77777777" w:rsidR="006F19FB" w:rsidRPr="006F19FB" w:rsidRDefault="006F19FB" w:rsidP="006F19FB">
      <w:pPr>
        <w:spacing w:after="0" w:line="240" w:lineRule="auto"/>
        <w:ind w:firstLine="567"/>
        <w:rPr>
          <w:lang w:val="sr-Cyrl-BA"/>
        </w:rPr>
      </w:pPr>
      <w:r w:rsidRPr="006F19FB">
        <w:rPr>
          <w:lang w:val="sr-Cyrl-BA"/>
        </w:rPr>
        <w:t>Према одредбама Закона о тржишту хартија од вриједности и Правилника о условима и поступку емисије хартија од вриједности</w:t>
      </w:r>
      <w:r w:rsidRPr="006F19FB">
        <w:rPr>
          <w:vertAlign w:val="superscript"/>
        </w:rPr>
        <w:footnoteReference w:id="2"/>
      </w:r>
      <w:r w:rsidRPr="006F19FB">
        <w:rPr>
          <w:lang w:val="sr-Cyrl-BA"/>
        </w:rPr>
        <w:t>, емисија хартија од вриједности може се извршити:</w:t>
      </w:r>
    </w:p>
    <w:bookmarkEnd w:id="41"/>
    <w:p w14:paraId="449D51E7" w14:textId="77777777" w:rsidR="006F19FB" w:rsidRPr="00D76FB6" w:rsidRDefault="006F19FB" w:rsidP="006F19FB">
      <w:pPr>
        <w:pStyle w:val="ListParagraph"/>
        <w:numPr>
          <w:ilvl w:val="0"/>
          <w:numId w:val="6"/>
        </w:numPr>
        <w:spacing w:before="0" w:after="0" w:line="240" w:lineRule="auto"/>
        <w:ind w:left="851" w:hanging="284"/>
        <w:contextualSpacing w:val="0"/>
        <w:rPr>
          <w:lang w:val="sr-Cyrl-BA"/>
        </w:rPr>
      </w:pPr>
      <w:r w:rsidRPr="00D76FB6">
        <w:rPr>
          <w:b/>
          <w:lang w:val="sr-Cyrl-BA"/>
        </w:rPr>
        <w:t>јавном понудом</w:t>
      </w:r>
      <w:r w:rsidRPr="00D76FB6">
        <w:rPr>
          <w:lang w:val="sr-Cyrl-BA"/>
        </w:rPr>
        <w:t xml:space="preserve">, у којој се упис и уплата хартија од вриједности врши на основу јавног позива неодређеном броју лица, при чему постоји обавеза </w:t>
      </w:r>
      <w:proofErr w:type="spellStart"/>
      <w:r w:rsidRPr="00D76FB6">
        <w:rPr>
          <w:lang w:val="sr-Cyrl-BA"/>
        </w:rPr>
        <w:t>емитента</w:t>
      </w:r>
      <w:proofErr w:type="spellEnd"/>
      <w:r w:rsidRPr="00D76FB6">
        <w:rPr>
          <w:lang w:val="sr-Cyrl-BA"/>
        </w:rPr>
        <w:t xml:space="preserve"> да објави проспект, те </w:t>
      </w:r>
    </w:p>
    <w:p w14:paraId="625BE894" w14:textId="77777777" w:rsidR="006F19FB" w:rsidRPr="00D76FB6" w:rsidRDefault="006F19FB" w:rsidP="006F19FB">
      <w:pPr>
        <w:pStyle w:val="ListParagraph"/>
        <w:numPr>
          <w:ilvl w:val="0"/>
          <w:numId w:val="6"/>
        </w:numPr>
        <w:spacing w:before="0" w:after="0" w:line="240" w:lineRule="auto"/>
        <w:ind w:left="851" w:hanging="284"/>
        <w:contextualSpacing w:val="0"/>
        <w:rPr>
          <w:lang w:val="sr-Cyrl-BA"/>
        </w:rPr>
      </w:pPr>
      <w:r w:rsidRPr="00D76FB6">
        <w:rPr>
          <w:b/>
          <w:lang w:val="sr-Cyrl-BA"/>
        </w:rPr>
        <w:t>без обавезе објављивања проспекта</w:t>
      </w:r>
      <w:r w:rsidRPr="00D76FB6">
        <w:rPr>
          <w:lang w:val="sr-Cyrl-BA"/>
        </w:rPr>
        <w:t xml:space="preserve">, при чему постоји обавеза </w:t>
      </w:r>
      <w:proofErr w:type="spellStart"/>
      <w:r w:rsidRPr="00D76FB6">
        <w:rPr>
          <w:lang w:val="sr-Cyrl-BA"/>
        </w:rPr>
        <w:t>емитента</w:t>
      </w:r>
      <w:proofErr w:type="spellEnd"/>
      <w:r w:rsidRPr="00D76FB6">
        <w:rPr>
          <w:lang w:val="sr-Cyrl-BA"/>
        </w:rPr>
        <w:t xml:space="preserve"> да обавијести Комисију о донесеној одлуци о емисији, те поднесе пријаву за упис </w:t>
      </w:r>
      <w:r w:rsidRPr="006730DA">
        <w:rPr>
          <w:lang w:val="sr-Cyrl-BA"/>
        </w:rPr>
        <w:t>емисије</w:t>
      </w:r>
      <w:r w:rsidRPr="00D76FB6">
        <w:rPr>
          <w:lang w:val="sr-Cyrl-BA"/>
        </w:rPr>
        <w:t xml:space="preserve"> у Регистру </w:t>
      </w:r>
      <w:proofErr w:type="spellStart"/>
      <w:r w:rsidRPr="00D76FB6">
        <w:rPr>
          <w:lang w:val="sr-Cyrl-BA"/>
        </w:rPr>
        <w:t>емитената</w:t>
      </w:r>
      <w:proofErr w:type="spellEnd"/>
      <w:r w:rsidRPr="00D76FB6">
        <w:rPr>
          <w:lang w:val="sr-Cyrl-BA"/>
        </w:rPr>
        <w:t>, а у емисији учествује ограничен број инвеститора.</w:t>
      </w:r>
    </w:p>
    <w:p w14:paraId="7AF6518D" w14:textId="77777777" w:rsidR="006F19FB" w:rsidRPr="006F19FB" w:rsidRDefault="006F19FB" w:rsidP="006F19FB">
      <w:pPr>
        <w:spacing w:after="0" w:line="240" w:lineRule="auto"/>
        <w:ind w:firstLine="567"/>
        <w:rPr>
          <w:lang w:val="sr-Cyrl-BA"/>
        </w:rPr>
      </w:pPr>
      <w:r w:rsidRPr="006F19FB">
        <w:rPr>
          <w:lang w:val="sr-Cyrl-BA"/>
        </w:rPr>
        <w:t xml:space="preserve">У случају да се поступак емисије одвија јавном понудом, </w:t>
      </w:r>
      <w:proofErr w:type="spellStart"/>
      <w:r w:rsidRPr="006F19FB">
        <w:rPr>
          <w:lang w:val="sr-Cyrl-BA"/>
        </w:rPr>
        <w:t>емитент</w:t>
      </w:r>
      <w:proofErr w:type="spellEnd"/>
      <w:r w:rsidRPr="006F19FB">
        <w:rPr>
          <w:lang w:val="sr-Cyrl-BA"/>
        </w:rPr>
        <w:t xml:space="preserve"> подноси Комисији захтјев за одобрење проспекта. У поступку одобравања ових захтјева Комисија цијени, уз потпуност и уредност поднесене документације и елементе садржане у одлуци о емисији са аспекта равноправности акционара и заштите њихових права у погледу информисаности.</w:t>
      </w:r>
    </w:p>
    <w:p w14:paraId="56A37B9E" w14:textId="77777777" w:rsidR="006F19FB" w:rsidRPr="006F19FB" w:rsidRDefault="006F19FB" w:rsidP="006F19FB">
      <w:pPr>
        <w:spacing w:after="0" w:line="240" w:lineRule="auto"/>
        <w:ind w:firstLine="567"/>
        <w:rPr>
          <w:lang w:val="sr-Cyrl-BA"/>
        </w:rPr>
      </w:pPr>
      <w:r w:rsidRPr="006F19FB">
        <w:rPr>
          <w:lang w:val="sr-Cyrl-BA"/>
        </w:rPr>
        <w:t>Емисија без обавезе објављивања проспекта, подразумијева:</w:t>
      </w:r>
    </w:p>
    <w:p w14:paraId="58CA3DBB"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а)</w:t>
      </w:r>
      <w:r w:rsidRPr="006F19FB">
        <w:rPr>
          <w:rFonts w:eastAsia="Calibri"/>
          <w:shd w:val="solid" w:color="FFFFFF" w:fill="FFFFFF"/>
          <w:lang w:val="sr-Cyrl-BA" w:eastAsia="sr-Latn-BA"/>
        </w:rPr>
        <w:tab/>
        <w:t>понуду која је упућена само квалификованим инвеститорима,</w:t>
      </w:r>
    </w:p>
    <w:p w14:paraId="61AF06E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lastRenderedPageBreak/>
        <w:t>б)</w:t>
      </w:r>
      <w:r w:rsidRPr="006F19FB">
        <w:rPr>
          <w:rFonts w:eastAsia="Calibri"/>
          <w:shd w:val="solid" w:color="FFFFFF" w:fill="FFFFFF"/>
          <w:lang w:val="sr-Cyrl-BA" w:eastAsia="sr-Latn-BA"/>
        </w:rPr>
        <w:tab/>
        <w:t>понуду која је упућена физичким или правним лицима у Босни и Херцеговини чији број не може бити већи од десет, а који нису квалификовани инвеститори,</w:t>
      </w:r>
    </w:p>
    <w:p w14:paraId="12A888D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в)</w:t>
      </w:r>
      <w:r w:rsidRPr="006F19FB">
        <w:rPr>
          <w:rFonts w:eastAsia="Calibri"/>
          <w:shd w:val="solid" w:color="FFFFFF" w:fill="FFFFFF"/>
          <w:lang w:val="sr-Cyrl-BA" w:eastAsia="sr-Latn-BA"/>
        </w:rPr>
        <w:tab/>
        <w:t>понуду која је упућена инвеститорима који ће за уписане хартије од вриједности уплатити износ од најмање 100.000 КМ по инвеститору за сваку појединачну понуду,</w:t>
      </w:r>
    </w:p>
    <w:p w14:paraId="66964711"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г)</w:t>
      </w:r>
      <w:r w:rsidRPr="006F19FB">
        <w:rPr>
          <w:rFonts w:eastAsia="Calibri"/>
          <w:shd w:val="solid" w:color="FFFFFF" w:fill="FFFFFF"/>
          <w:lang w:val="sr-Cyrl-BA" w:eastAsia="sr-Latn-BA"/>
        </w:rPr>
        <w:tab/>
        <w:t>понуду хартија од вриједности чија појединачна номинална вриједност износи најмање 100.000 КМ,</w:t>
      </w:r>
    </w:p>
    <w:p w14:paraId="2E31426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д)</w:t>
      </w:r>
      <w:r w:rsidRPr="006F19FB">
        <w:rPr>
          <w:rFonts w:eastAsia="Calibri"/>
          <w:shd w:val="solid" w:color="FFFFFF" w:fill="FFFFFF"/>
          <w:lang w:val="sr-Cyrl-BA" w:eastAsia="sr-Latn-BA"/>
        </w:rPr>
        <w:tab/>
        <w:t>понуду са укупном вриједности за хартије од вриједности која је мања од 1.000.000 КМ, при чему се овај износ рачуна током периода од годину дана,</w:t>
      </w:r>
    </w:p>
    <w:p w14:paraId="32CD1A1F"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ђ) инструмената тржишта новца,</w:t>
      </w:r>
    </w:p>
    <w:p w14:paraId="016FF3A7"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е) понуду акција које се емитују у замјену за већ емитоване акције исте класе уколико емисија таквих нових акција не подразумијева повећање основног капитала друштва,</w:t>
      </w:r>
    </w:p>
    <w:p w14:paraId="3EE2FFB8" w14:textId="77777777" w:rsidR="006F19FB" w:rsidRPr="006F19FB" w:rsidRDefault="006F19FB" w:rsidP="006F19FB">
      <w:pPr>
        <w:spacing w:before="0" w:after="0" w:line="240" w:lineRule="auto"/>
        <w:ind w:left="851" w:hanging="284"/>
        <w:rPr>
          <w:rFonts w:eastAsia="Calibri"/>
          <w:shd w:val="solid" w:color="FFFFFF" w:fill="FFFFFF"/>
          <w:lang w:val="en-GB" w:eastAsia="sr-Latn-BA"/>
        </w:rPr>
      </w:pPr>
      <w:r w:rsidRPr="006F19FB">
        <w:rPr>
          <w:rFonts w:eastAsia="Calibri"/>
          <w:shd w:val="solid" w:color="FFFFFF" w:fill="FFFFFF"/>
          <w:lang w:val="sr-Cyrl-BA" w:eastAsia="sr-Latn-BA"/>
        </w:rPr>
        <w:t>ж)</w:t>
      </w:r>
      <w:r w:rsidRPr="006F19FB">
        <w:rPr>
          <w:rFonts w:eastAsia="Calibri"/>
          <w:shd w:val="solid" w:color="FFFFFF" w:fill="FFFFFF"/>
          <w:lang w:val="sr-Cyrl-BA" w:eastAsia="sr-Latn-BA"/>
        </w:rPr>
        <w:tab/>
        <w:t>хартије од вриједности које се нуде, додјељују или ће бити додијељене у поступку статусних промјена друштава, под условом да за те хартије од вриједности постоји документ са подацима које Комисија сматра еквивалентним подацима из проспекта, узимајући у обзир одредбе закона којим се уређује пословање привредних друштава,</w:t>
      </w:r>
    </w:p>
    <w:p w14:paraId="25791C93"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з)</w:t>
      </w:r>
      <w:r w:rsidRPr="006F19FB">
        <w:rPr>
          <w:rFonts w:eastAsia="Calibri"/>
          <w:shd w:val="solid" w:color="FFFFFF" w:fill="FFFFFF"/>
          <w:lang w:val="sr-Cyrl-BA" w:eastAsia="sr-Latn-BA"/>
        </w:rPr>
        <w:tab/>
        <w:t>акције које се нуде, додјељују или ће бити додијељене без накнаде постојећим акционарима или као дивиденде исплаћене у виду акција исте класе, као и акције у вези са којима су дивиденде исплаћене, под условом да постоји документ са подацима о броју и правима из акција, као и разлозима и детаљима у вези са понудом,</w:t>
      </w:r>
    </w:p>
    <w:p w14:paraId="3249F378"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и)</w:t>
      </w:r>
      <w:r w:rsidRPr="006F19FB">
        <w:rPr>
          <w:rFonts w:eastAsia="Calibri"/>
          <w:shd w:val="solid" w:color="FFFFFF" w:fill="FFFFFF"/>
          <w:lang w:val="sr-Cyrl-BA" w:eastAsia="sr-Latn-BA"/>
        </w:rPr>
        <w:tab/>
        <w:t xml:space="preserve">хартије од вриједности које нуди или ће понудити </w:t>
      </w:r>
      <w:proofErr w:type="spellStart"/>
      <w:r w:rsidRPr="006F19FB">
        <w:rPr>
          <w:rFonts w:eastAsia="Calibri"/>
          <w:shd w:val="solid" w:color="FFFFFF" w:fill="FFFFFF"/>
          <w:lang w:val="sr-Cyrl-BA" w:eastAsia="sr-Latn-BA"/>
        </w:rPr>
        <w:t>емитент</w:t>
      </w:r>
      <w:proofErr w:type="spellEnd"/>
      <w:r w:rsidRPr="006F19FB">
        <w:rPr>
          <w:rFonts w:eastAsia="Calibri"/>
          <w:shd w:val="solid" w:color="FFFFFF" w:fill="FFFFFF"/>
          <w:lang w:val="sr-Cyrl-BA" w:eastAsia="sr-Latn-BA"/>
        </w:rPr>
        <w:t xml:space="preserve"> чије су хартије од вриједности укључене на берзу, односно друго уређено јавно тржиште или друштво које је повезано са </w:t>
      </w:r>
      <w:proofErr w:type="spellStart"/>
      <w:r w:rsidRPr="006F19FB">
        <w:rPr>
          <w:rFonts w:eastAsia="Calibri"/>
          <w:shd w:val="solid" w:color="FFFFFF" w:fill="FFFFFF"/>
          <w:lang w:val="sr-Cyrl-BA" w:eastAsia="sr-Latn-BA"/>
        </w:rPr>
        <w:t>емитентом</w:t>
      </w:r>
      <w:proofErr w:type="spellEnd"/>
      <w:r w:rsidRPr="006F19FB">
        <w:rPr>
          <w:rFonts w:eastAsia="Calibri"/>
          <w:shd w:val="solid" w:color="FFFFFF" w:fill="FFFFFF"/>
          <w:lang w:val="sr-Cyrl-BA" w:eastAsia="sr-Latn-BA"/>
        </w:rPr>
        <w:t>, а које нуди или ће понудити садашњим или бившим члановима управе или запосленима, под условом да постоји документ са подацима о броју и природи хартија од вриједности, као и разлозима и детаљима који се односе на понуду.</w:t>
      </w:r>
    </w:p>
    <w:p w14:paraId="5A0E01AF" w14:textId="77777777" w:rsidR="006F19FB" w:rsidRPr="006F19FB" w:rsidRDefault="006F19FB" w:rsidP="006F19FB">
      <w:pPr>
        <w:spacing w:after="0" w:line="240" w:lineRule="auto"/>
        <w:ind w:firstLine="567"/>
        <w:rPr>
          <w:lang w:val="sr-Cyrl-BA"/>
        </w:rPr>
      </w:pPr>
      <w:r w:rsidRPr="006F19FB">
        <w:rPr>
          <w:lang w:val="sr-Cyrl-BA"/>
        </w:rPr>
        <w:t xml:space="preserve">Код ове врсте емисије </w:t>
      </w:r>
      <w:proofErr w:type="spellStart"/>
      <w:r w:rsidRPr="006F19FB">
        <w:rPr>
          <w:lang w:val="sr-Cyrl-BA"/>
        </w:rPr>
        <w:t>емитент</w:t>
      </w:r>
      <w:proofErr w:type="spellEnd"/>
      <w:r w:rsidRPr="006F19FB">
        <w:rPr>
          <w:lang w:val="sr-Cyrl-BA"/>
        </w:rPr>
        <w:t xml:space="preserve"> је обавезан да, у одређеном року (седам дана од дана доношења одлуке) обавијести Комисију о донесеној одлуци о емисији, те достави одлуку и друге прилоге. </w:t>
      </w:r>
      <w:proofErr w:type="spellStart"/>
      <w:r w:rsidRPr="006F19FB">
        <w:rPr>
          <w:lang w:val="sr-Cyrl-BA"/>
        </w:rPr>
        <w:t>Емитент</w:t>
      </w:r>
      <w:proofErr w:type="spellEnd"/>
      <w:r w:rsidRPr="006F19FB">
        <w:rPr>
          <w:lang w:val="sr-Cyrl-BA"/>
        </w:rPr>
        <w:t xml:space="preserve"> који је емитовао власничке хартије од вриједности у складу са ставом 1. тачке а) до д) члана 60. Закона, а којим су прописане ове врсте емисија, дужан је да, најкасније у року од једне године од уписа тих хартија од вриједности у Регистар </w:t>
      </w:r>
      <w:proofErr w:type="spellStart"/>
      <w:r w:rsidRPr="006F19FB">
        <w:rPr>
          <w:lang w:val="sr-Cyrl-BA"/>
        </w:rPr>
        <w:t>емитената</w:t>
      </w:r>
      <w:proofErr w:type="spellEnd"/>
      <w:r w:rsidRPr="006F19FB">
        <w:rPr>
          <w:lang w:val="sr-Cyrl-BA"/>
        </w:rPr>
        <w:t xml:space="preserve"> код Комисије, објави проспект.</w:t>
      </w:r>
    </w:p>
    <w:p w14:paraId="66636E2A" w14:textId="77777777" w:rsidR="006F19FB" w:rsidRPr="006F19FB" w:rsidRDefault="006F19FB" w:rsidP="006F19FB">
      <w:pPr>
        <w:spacing w:after="0" w:line="240" w:lineRule="auto"/>
        <w:ind w:firstLine="567"/>
        <w:rPr>
          <w:lang w:val="sr-Cyrl-BA"/>
        </w:rPr>
      </w:pPr>
      <w:proofErr w:type="spellStart"/>
      <w:r w:rsidRPr="006F19FB">
        <w:rPr>
          <w:lang w:val="sr-Cyrl-BA"/>
        </w:rPr>
        <w:t>Емитент</w:t>
      </w:r>
      <w:proofErr w:type="spellEnd"/>
      <w:r w:rsidRPr="006F19FB">
        <w:rPr>
          <w:lang w:val="sr-Cyrl-BA"/>
        </w:rPr>
        <w:t xml:space="preserve"> који је емитовао дужничке хартије од вриједности у складу са ставом 1. тачке а) до д) наведеног члана може да их уврсти на берзу или друго уређено јавно тржиште само под условом да за ту врсту и класу хартија од вриједности објави проспект или да их уврсти на посебан тржишни сегмент берзе или другог уређеног јавног тржишта без обавезе објављивања проспекта, под условом да таквом тржишном сегменту приступ за трговање имају само квалификовани инвеститори у смислу одредаба овог закона.</w:t>
      </w:r>
    </w:p>
    <w:p w14:paraId="02FA57EE" w14:textId="6C647220" w:rsidR="000B0DC6" w:rsidRDefault="006F19FB" w:rsidP="001E125D">
      <w:pPr>
        <w:spacing w:line="240" w:lineRule="auto"/>
        <w:ind w:firstLine="567"/>
        <w:rPr>
          <w:lang w:val="sr-Cyrl-BA"/>
        </w:rPr>
      </w:pPr>
      <w:r w:rsidRPr="006F19FB">
        <w:rPr>
          <w:lang w:val="sr-Cyrl-BA"/>
        </w:rPr>
        <w:t xml:space="preserve">У овом поступку Комисија цијени да ли су одлуке донесене на начин и по поступку утврђеном Законом и другим прописима, а својим актом потврђује извршење обавезе </w:t>
      </w:r>
      <w:proofErr w:type="spellStart"/>
      <w:r w:rsidRPr="006F19FB">
        <w:rPr>
          <w:lang w:val="sr-Cyrl-BA"/>
        </w:rPr>
        <w:t>емитента</w:t>
      </w:r>
      <w:proofErr w:type="spellEnd"/>
      <w:r w:rsidRPr="006F19FB">
        <w:rPr>
          <w:lang w:val="sr-Cyrl-BA"/>
        </w:rPr>
        <w:t xml:space="preserve"> да достави обавјештење за овакву емисију, те евидентира податке о емисији у Регистру </w:t>
      </w:r>
      <w:proofErr w:type="spellStart"/>
      <w:r w:rsidRPr="006F19FB">
        <w:rPr>
          <w:lang w:val="sr-Cyrl-BA"/>
        </w:rPr>
        <w:t>емитената</w:t>
      </w:r>
      <w:proofErr w:type="spellEnd"/>
      <w:r w:rsidR="006730DA" w:rsidRPr="00D76FB6">
        <w:rPr>
          <w:lang w:val="sr-Cyrl-BA"/>
        </w:rPr>
        <w:t>.</w:t>
      </w:r>
    </w:p>
    <w:p w14:paraId="647B359A" w14:textId="77777777" w:rsidR="00C82038" w:rsidRDefault="00C82038" w:rsidP="001E125D">
      <w:pPr>
        <w:spacing w:line="240" w:lineRule="auto"/>
        <w:ind w:firstLine="567"/>
        <w:rPr>
          <w:lang w:val="sr-Cyrl-BA"/>
        </w:rPr>
      </w:pPr>
    </w:p>
    <w:tbl>
      <w:tblPr>
        <w:tblStyle w:val="LightGrid-Accent12"/>
        <w:tblW w:w="4964" w:type="pct"/>
        <w:tblInd w:w="-34" w:type="dxa"/>
        <w:tblLook w:val="04E0" w:firstRow="1" w:lastRow="1" w:firstColumn="1" w:lastColumn="0" w:noHBand="0" w:noVBand="1"/>
      </w:tblPr>
      <w:tblGrid>
        <w:gridCol w:w="426"/>
        <w:gridCol w:w="6045"/>
        <w:gridCol w:w="1099"/>
        <w:gridCol w:w="1650"/>
      </w:tblGrid>
      <w:tr w:rsidR="006F19FB" w:rsidRPr="006F19FB" w14:paraId="6FD8A0CC" w14:textId="77777777" w:rsidTr="0066171A">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60A2F70C" w14:textId="77777777" w:rsidR="006F19FB" w:rsidRPr="006F19FB" w:rsidRDefault="006F19FB" w:rsidP="006F19FB">
            <w:pPr>
              <w:pStyle w:val="Table"/>
              <w:rPr>
                <w:rFonts w:ascii="Times New Roman" w:hAnsi="Times New Roman"/>
                <w:lang w:val="en-GB"/>
              </w:rPr>
            </w:pPr>
            <w:bookmarkStart w:id="42" w:name="_Hlk115701072"/>
            <w:r w:rsidRPr="006F19FB">
              <w:rPr>
                <w:rFonts w:ascii="Times New Roman" w:hAnsi="Times New Roman"/>
                <w:lang w:val="sr-Cyrl-BA"/>
              </w:rPr>
              <w:lastRenderedPageBreak/>
              <w:t>Врста емисије</w:t>
            </w:r>
          </w:p>
        </w:tc>
        <w:tc>
          <w:tcPr>
            <w:tcW w:w="596" w:type="pct"/>
            <w:vAlign w:val="center"/>
          </w:tcPr>
          <w:p w14:paraId="66EC6EFC" w14:textId="77777777" w:rsidR="006F19FB" w:rsidRPr="006F19FB" w:rsidRDefault="006F19FB" w:rsidP="006F19F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Број емисија</w:t>
            </w:r>
          </w:p>
        </w:tc>
        <w:tc>
          <w:tcPr>
            <w:tcW w:w="895" w:type="pct"/>
            <w:vAlign w:val="center"/>
          </w:tcPr>
          <w:p w14:paraId="176A9B68" w14:textId="77777777" w:rsidR="006F19FB" w:rsidRPr="006F19FB" w:rsidRDefault="006F19FB" w:rsidP="006F19F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Укупан обим емисија (КМ)</w:t>
            </w:r>
          </w:p>
        </w:tc>
      </w:tr>
      <w:tr w:rsidR="006F19FB" w:rsidRPr="006F19FB" w14:paraId="624B12A5" w14:textId="77777777" w:rsidTr="0066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649D9EE7" w14:textId="5346A8D2" w:rsidR="006F19FB" w:rsidRPr="006F19FB" w:rsidRDefault="006F19FB" w:rsidP="006F19FB">
            <w:pPr>
              <w:pStyle w:val="Table"/>
              <w:rPr>
                <w:rFonts w:ascii="Times New Roman" w:hAnsi="Times New Roman"/>
                <w:lang w:val="sr-Cyrl-BA"/>
              </w:rPr>
            </w:pPr>
            <w:r w:rsidRPr="006F19FB">
              <w:rPr>
                <w:rFonts w:ascii="Times New Roman" w:hAnsi="Times New Roman"/>
                <w:lang w:val="en-GB"/>
              </w:rPr>
              <w:t xml:space="preserve">I </w:t>
            </w:r>
            <w:r w:rsidRPr="006F19FB">
              <w:rPr>
                <w:rFonts w:ascii="Times New Roman" w:hAnsi="Times New Roman"/>
                <w:lang w:val="sr-Cyrl-BA"/>
              </w:rPr>
              <w:t xml:space="preserve">Емисије </w:t>
            </w:r>
            <w:r w:rsidR="00315188">
              <w:rPr>
                <w:rFonts w:ascii="Times New Roman" w:hAnsi="Times New Roman"/>
                <w:lang w:val="sr-Cyrl-BA"/>
              </w:rPr>
              <w:t>са обавезом објављивања проспекта</w:t>
            </w:r>
          </w:p>
        </w:tc>
        <w:tc>
          <w:tcPr>
            <w:tcW w:w="596" w:type="pct"/>
            <w:vAlign w:val="center"/>
          </w:tcPr>
          <w:p w14:paraId="0DE5FA3C" w14:textId="56DF6D41" w:rsidR="006F19FB" w:rsidRPr="006F19FB"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val="en-GB"/>
              </w:rPr>
            </w:pPr>
            <w:r>
              <w:rPr>
                <w:rFonts w:ascii="Times New Roman" w:eastAsia="Times New Roman" w:hAnsi="Times New Roman"/>
                <w:b/>
                <w:lang w:val="sr-Cyrl-BA"/>
              </w:rPr>
              <w:t>16</w:t>
            </w:r>
          </w:p>
        </w:tc>
        <w:tc>
          <w:tcPr>
            <w:tcW w:w="895" w:type="pct"/>
            <w:vAlign w:val="center"/>
          </w:tcPr>
          <w:p w14:paraId="4ABD7C01" w14:textId="2B2FA3DD" w:rsidR="006F19FB" w:rsidRPr="006F19FB" w:rsidRDefault="0091431E" w:rsidP="006F19FB">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sr-Cyrl-BA"/>
              </w:rPr>
            </w:pPr>
            <w:r w:rsidRPr="00192C67">
              <w:rPr>
                <w:rFonts w:ascii="Times New Roman" w:eastAsia="Times New Roman" w:hAnsi="Times New Roman"/>
                <w:b/>
                <w:sz w:val="22"/>
                <w:szCs w:val="22"/>
                <w:lang w:val="sr-Latn-BA"/>
              </w:rPr>
              <w:t>40.675.000</w:t>
            </w:r>
          </w:p>
        </w:tc>
      </w:tr>
      <w:tr w:rsidR="0091431E" w:rsidRPr="006F19FB" w14:paraId="4C0D6AC1" w14:textId="77777777" w:rsidTr="0066171A">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75172D70" w14:textId="77777777" w:rsidR="0091431E" w:rsidRPr="006F19FB" w:rsidRDefault="0091431E" w:rsidP="0091431E">
            <w:pPr>
              <w:pStyle w:val="Table"/>
              <w:rPr>
                <w:rFonts w:ascii="Times New Roman" w:hAnsi="Times New Roman"/>
                <w:lang w:val="sr-Cyrl-BA"/>
              </w:rPr>
            </w:pPr>
            <w:r w:rsidRPr="006F19FB">
              <w:rPr>
                <w:rFonts w:ascii="Times New Roman" w:hAnsi="Times New Roman"/>
                <w:lang w:val="en-GB"/>
              </w:rPr>
              <w:t xml:space="preserve">II </w:t>
            </w:r>
            <w:r w:rsidRPr="006F19FB">
              <w:rPr>
                <w:rFonts w:ascii="Times New Roman" w:hAnsi="Times New Roman"/>
                <w:lang w:val="sr-Cyrl-BA"/>
              </w:rPr>
              <w:t>Емисија без обавезе објаве проспекта:</w:t>
            </w:r>
          </w:p>
        </w:tc>
        <w:tc>
          <w:tcPr>
            <w:tcW w:w="596" w:type="pct"/>
            <w:vAlign w:val="center"/>
          </w:tcPr>
          <w:p w14:paraId="1537184D" w14:textId="487A659F" w:rsidR="0091431E" w:rsidRPr="006F19FB" w:rsidRDefault="0091431E" w:rsidP="0091431E">
            <w:pPr>
              <w:pStyle w:val="Table"/>
              <w:tabs>
                <w:tab w:val="decimal" w:pos="573"/>
              </w:tabs>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b/>
                <w:lang w:val="sr-Cyrl-BA"/>
              </w:rPr>
            </w:pPr>
            <w:r>
              <w:rPr>
                <w:rFonts w:ascii="Times New Roman" w:eastAsia="Times New Roman" w:hAnsi="Times New Roman"/>
                <w:b/>
                <w:lang w:val="sr-Cyrl-BA"/>
              </w:rPr>
              <w:t>5</w:t>
            </w:r>
          </w:p>
        </w:tc>
        <w:tc>
          <w:tcPr>
            <w:tcW w:w="895" w:type="pct"/>
            <w:vAlign w:val="center"/>
          </w:tcPr>
          <w:p w14:paraId="7DAC0A20" w14:textId="5D2B9D97" w:rsidR="0091431E" w:rsidRPr="006F19FB" w:rsidRDefault="0091431E" w:rsidP="0091431E">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bCs/>
                <w:sz w:val="20"/>
                <w:szCs w:val="20"/>
                <w:lang w:val="sr-Cyrl-BA"/>
              </w:rPr>
            </w:pPr>
            <w:r w:rsidRPr="00192C67">
              <w:rPr>
                <w:rFonts w:ascii="Times New Roman" w:eastAsia="Times New Roman" w:hAnsi="Times New Roman"/>
                <w:b/>
                <w:sz w:val="22"/>
                <w:szCs w:val="22"/>
                <w:lang w:val="sr-Latn-BA"/>
              </w:rPr>
              <w:t>72.524.000</w:t>
            </w:r>
          </w:p>
        </w:tc>
      </w:tr>
      <w:tr w:rsidR="0091431E" w:rsidRPr="006F19FB" w14:paraId="116B49D9" w14:textId="77777777" w:rsidTr="0066171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39C55524" w14:textId="77777777" w:rsidR="0091431E" w:rsidRPr="006F19FB" w:rsidRDefault="0091431E" w:rsidP="0091431E">
            <w:pPr>
              <w:pStyle w:val="Table"/>
              <w:jc w:val="center"/>
              <w:rPr>
                <w:rFonts w:ascii="Times New Roman" w:hAnsi="Times New Roman"/>
                <w:b w:val="0"/>
                <w:lang w:val="sr-Cyrl-BA"/>
              </w:rPr>
            </w:pPr>
            <w:r w:rsidRPr="006F19FB">
              <w:rPr>
                <w:rFonts w:ascii="Times New Roman" w:hAnsi="Times New Roman"/>
                <w:b w:val="0"/>
                <w:lang w:val="sr-Cyrl-BA"/>
              </w:rPr>
              <w:t>1.</w:t>
            </w:r>
          </w:p>
        </w:tc>
        <w:tc>
          <w:tcPr>
            <w:tcW w:w="3278" w:type="pct"/>
            <w:vAlign w:val="center"/>
          </w:tcPr>
          <w:p w14:paraId="6260168D" w14:textId="5DC4A953" w:rsidR="0091431E" w:rsidRPr="006F19FB" w:rsidRDefault="0091431E" w:rsidP="0091431E">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192C67">
              <w:rPr>
                <w:rFonts w:ascii="Times New Roman" w:hAnsi="Times New Roman"/>
                <w:sz w:val="22"/>
                <w:szCs w:val="22"/>
                <w:lang w:val="sr-Cyrl-BA"/>
              </w:rPr>
              <w:t>Понуда за квалификоване инвеститоре</w:t>
            </w:r>
          </w:p>
        </w:tc>
        <w:tc>
          <w:tcPr>
            <w:tcW w:w="596" w:type="pct"/>
            <w:vAlign w:val="center"/>
          </w:tcPr>
          <w:p w14:paraId="1B4DFC36" w14:textId="77777777" w:rsidR="0091431E" w:rsidRPr="006F19FB"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1</w:t>
            </w:r>
          </w:p>
        </w:tc>
        <w:tc>
          <w:tcPr>
            <w:tcW w:w="895" w:type="pct"/>
            <w:vAlign w:val="center"/>
          </w:tcPr>
          <w:p w14:paraId="19D1670E" w14:textId="0E2E328E" w:rsidR="0091431E" w:rsidRPr="006F19FB" w:rsidRDefault="0091431E" w:rsidP="0091431E">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Cyrl-BA"/>
              </w:rPr>
            </w:pPr>
            <w:r w:rsidRPr="00192C67">
              <w:rPr>
                <w:rFonts w:ascii="Times New Roman" w:hAnsi="Times New Roman" w:cs="Times New Roman"/>
                <w:sz w:val="22"/>
                <w:szCs w:val="22"/>
                <w:lang w:val="sr-Cyrl-BA"/>
              </w:rPr>
              <w:t>320.000</w:t>
            </w:r>
          </w:p>
        </w:tc>
      </w:tr>
      <w:tr w:rsidR="0091431E" w:rsidRPr="006F19FB" w14:paraId="0FC3EA7E" w14:textId="77777777" w:rsidTr="0066171A">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5BFCC16D" w14:textId="77777777" w:rsidR="0091431E" w:rsidRPr="006F19FB" w:rsidRDefault="0091431E" w:rsidP="0091431E">
            <w:pPr>
              <w:pStyle w:val="Table"/>
              <w:jc w:val="center"/>
              <w:rPr>
                <w:rFonts w:ascii="Times New Roman" w:hAnsi="Times New Roman"/>
                <w:b w:val="0"/>
                <w:lang w:val="sr-Cyrl-BA"/>
              </w:rPr>
            </w:pPr>
            <w:r w:rsidRPr="006F19FB">
              <w:rPr>
                <w:rFonts w:ascii="Times New Roman" w:hAnsi="Times New Roman"/>
                <w:b w:val="0"/>
                <w:lang w:val="sr-Cyrl-BA"/>
              </w:rPr>
              <w:t>2.</w:t>
            </w:r>
          </w:p>
        </w:tc>
        <w:tc>
          <w:tcPr>
            <w:tcW w:w="3278" w:type="pct"/>
            <w:vAlign w:val="center"/>
          </w:tcPr>
          <w:p w14:paraId="0A956A43" w14:textId="1B1E3B2E" w:rsidR="0091431E" w:rsidRPr="006F19FB" w:rsidRDefault="0091431E" w:rsidP="0091431E">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lang w:val="sr-Cyrl-BA"/>
              </w:rPr>
            </w:pPr>
            <w:r w:rsidRPr="00192C67">
              <w:rPr>
                <w:rFonts w:ascii="Times New Roman" w:hAnsi="Times New Roman"/>
                <w:sz w:val="22"/>
                <w:szCs w:val="22"/>
                <w:lang w:val="sr-Cyrl-BA"/>
              </w:rPr>
              <w:t>Претварање резерви и нераспоређене добити у основни капитал</w:t>
            </w:r>
          </w:p>
        </w:tc>
        <w:tc>
          <w:tcPr>
            <w:tcW w:w="596" w:type="pct"/>
            <w:vAlign w:val="center"/>
          </w:tcPr>
          <w:p w14:paraId="211A42E4" w14:textId="0BA36B08" w:rsidR="0091431E" w:rsidRPr="006F19FB" w:rsidRDefault="0091431E" w:rsidP="0091431E">
            <w:pPr>
              <w:pStyle w:val="Table"/>
              <w:tabs>
                <w:tab w:val="decimal" w:pos="573"/>
              </w:tabs>
              <w:jc w:val="left"/>
              <w:cnfStyle w:val="000000010000" w:firstRow="0" w:lastRow="0" w:firstColumn="0" w:lastColumn="0" w:oddVBand="0" w:evenVBand="0" w:oddHBand="0" w:evenHBand="1" w:firstRowFirstColumn="0" w:firstRowLastColumn="0" w:lastRowFirstColumn="0" w:lastRowLastColumn="0"/>
              <w:rPr>
                <w:rFonts w:ascii="Times New Roman" w:hAnsi="Times New Roman"/>
                <w:lang w:val="sr-Cyrl-BA"/>
              </w:rPr>
            </w:pPr>
            <w:r>
              <w:rPr>
                <w:rFonts w:ascii="Times New Roman" w:hAnsi="Times New Roman"/>
                <w:lang w:val="sr-Cyrl-BA"/>
              </w:rPr>
              <w:t>2</w:t>
            </w:r>
          </w:p>
        </w:tc>
        <w:tc>
          <w:tcPr>
            <w:tcW w:w="895" w:type="pct"/>
            <w:vAlign w:val="center"/>
          </w:tcPr>
          <w:p w14:paraId="0784E14D" w14:textId="503A422D" w:rsidR="0091431E" w:rsidRPr="006F19FB" w:rsidRDefault="0091431E" w:rsidP="0091431E">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Cyrl-BA"/>
              </w:rPr>
            </w:pPr>
            <w:r w:rsidRPr="00192C67">
              <w:rPr>
                <w:rFonts w:ascii="Times New Roman" w:hAnsi="Times New Roman" w:cs="Times New Roman"/>
                <w:bCs/>
                <w:sz w:val="22"/>
                <w:szCs w:val="22"/>
                <w:lang w:val="sr-Cyrl-BA"/>
              </w:rPr>
              <w:t>1.500.000</w:t>
            </w:r>
          </w:p>
        </w:tc>
      </w:tr>
      <w:tr w:rsidR="0091431E" w:rsidRPr="006F19FB" w14:paraId="11CB9A67" w14:textId="77777777" w:rsidTr="0066171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6A079AFE" w14:textId="77777777" w:rsidR="0091431E" w:rsidRPr="006F19FB" w:rsidRDefault="0091431E" w:rsidP="0091431E">
            <w:pPr>
              <w:pStyle w:val="Table"/>
              <w:jc w:val="center"/>
              <w:rPr>
                <w:rFonts w:ascii="Times New Roman" w:hAnsi="Times New Roman"/>
                <w:b w:val="0"/>
                <w:lang w:val="sr-Cyrl-BA"/>
              </w:rPr>
            </w:pPr>
            <w:r w:rsidRPr="006F19FB">
              <w:rPr>
                <w:rFonts w:ascii="Times New Roman" w:hAnsi="Times New Roman"/>
                <w:b w:val="0"/>
                <w:lang w:val="sr-Cyrl-BA"/>
              </w:rPr>
              <w:t>3.</w:t>
            </w:r>
          </w:p>
        </w:tc>
        <w:tc>
          <w:tcPr>
            <w:tcW w:w="3278" w:type="pct"/>
            <w:vAlign w:val="center"/>
          </w:tcPr>
          <w:p w14:paraId="40D1FD75" w14:textId="7EED417D" w:rsidR="0091431E" w:rsidRPr="006F19FB" w:rsidRDefault="0091431E" w:rsidP="0091431E">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192C67">
              <w:rPr>
                <w:rFonts w:ascii="Times New Roman" w:hAnsi="Times New Roman"/>
                <w:sz w:val="22"/>
                <w:szCs w:val="22"/>
                <w:lang w:val="sr-Cyrl-BA"/>
              </w:rPr>
              <w:t>Смањење капитала</w:t>
            </w:r>
          </w:p>
        </w:tc>
        <w:tc>
          <w:tcPr>
            <w:tcW w:w="596" w:type="pct"/>
            <w:vAlign w:val="center"/>
          </w:tcPr>
          <w:p w14:paraId="52F53CA8" w14:textId="77777777" w:rsidR="0091431E" w:rsidRPr="006F19FB"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2</w:t>
            </w:r>
          </w:p>
        </w:tc>
        <w:tc>
          <w:tcPr>
            <w:tcW w:w="895" w:type="pct"/>
            <w:vAlign w:val="center"/>
          </w:tcPr>
          <w:p w14:paraId="2524D9FE" w14:textId="07B453B3" w:rsidR="0091431E" w:rsidRPr="006F19FB" w:rsidRDefault="0091431E" w:rsidP="0091431E">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Cyrl-BA"/>
              </w:rPr>
            </w:pPr>
            <w:r w:rsidRPr="00192C67">
              <w:rPr>
                <w:rFonts w:ascii="Times New Roman" w:hAnsi="Times New Roman" w:cs="Times New Roman"/>
                <w:bCs/>
                <w:sz w:val="22"/>
                <w:szCs w:val="22"/>
                <w:lang w:val="sr-Cyrl-BA"/>
              </w:rPr>
              <w:t>70.704.000</w:t>
            </w:r>
          </w:p>
        </w:tc>
      </w:tr>
      <w:tr w:rsidR="006F19FB" w:rsidRPr="006F19FB" w14:paraId="1BD3C591" w14:textId="77777777" w:rsidTr="0091431E">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4AEF0C94" w14:textId="77777777" w:rsidR="006F19FB" w:rsidRPr="006F19FB" w:rsidRDefault="006F19FB" w:rsidP="006F19FB">
            <w:pPr>
              <w:pStyle w:val="Table"/>
              <w:rPr>
                <w:rFonts w:ascii="Times New Roman" w:hAnsi="Times New Roman"/>
                <w:lang w:val="sr-Cyrl-BA"/>
              </w:rPr>
            </w:pPr>
            <w:r w:rsidRPr="006F19FB">
              <w:rPr>
                <w:rFonts w:ascii="Times New Roman" w:hAnsi="Times New Roman"/>
                <w:lang w:val="sr-Cyrl-BA"/>
              </w:rPr>
              <w:t>Укупно</w:t>
            </w:r>
          </w:p>
        </w:tc>
        <w:tc>
          <w:tcPr>
            <w:tcW w:w="596" w:type="pct"/>
            <w:tcBorders>
              <w:bottom w:val="single" w:sz="4" w:space="0" w:color="auto"/>
            </w:tcBorders>
            <w:vAlign w:val="center"/>
          </w:tcPr>
          <w:p w14:paraId="4FC25538" w14:textId="232E816A" w:rsidR="006F19FB" w:rsidRPr="006F19FB" w:rsidRDefault="0091431E" w:rsidP="0091431E">
            <w:pPr>
              <w:pStyle w:val="Table"/>
              <w:tabs>
                <w:tab w:val="decimal" w:pos="573"/>
              </w:tabs>
              <w:jc w:val="left"/>
              <w:cnfStyle w:val="010000000000" w:firstRow="0" w:lastRow="1" w:firstColumn="0" w:lastColumn="0" w:oddVBand="0" w:evenVBand="0" w:oddHBand="0" w:evenHBand="0" w:firstRowFirstColumn="0" w:firstRowLastColumn="0" w:lastRowFirstColumn="0" w:lastRowLastColumn="0"/>
              <w:rPr>
                <w:rFonts w:ascii="Times New Roman" w:hAnsi="Times New Roman"/>
                <w:lang w:val="sr-Cyrl-BA"/>
              </w:rPr>
            </w:pPr>
            <w:r>
              <w:rPr>
                <w:rFonts w:ascii="Times New Roman" w:hAnsi="Times New Roman"/>
                <w:lang w:val="sr-Cyrl-BA"/>
              </w:rPr>
              <w:t>21</w:t>
            </w:r>
          </w:p>
        </w:tc>
        <w:tc>
          <w:tcPr>
            <w:tcW w:w="895" w:type="pct"/>
            <w:tcBorders>
              <w:bottom w:val="single" w:sz="4" w:space="0" w:color="auto"/>
            </w:tcBorders>
            <w:vAlign w:val="center"/>
          </w:tcPr>
          <w:p w14:paraId="6D4C1BCF" w14:textId="49D8BBA3" w:rsidR="006F19FB" w:rsidRPr="006F19FB" w:rsidRDefault="0091431E" w:rsidP="006F19FB">
            <w:pPr>
              <w:spacing w:after="0" w:line="240" w:lineRule="auto"/>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192C67">
              <w:rPr>
                <w:rFonts w:ascii="Times New Roman" w:eastAsia="Times New Roman" w:hAnsi="Times New Roman"/>
                <w:bCs w:val="0"/>
                <w:sz w:val="22"/>
                <w:szCs w:val="22"/>
                <w:lang w:val="sr-Latn-BA"/>
              </w:rPr>
              <w:t>113.199.000</w:t>
            </w:r>
          </w:p>
        </w:tc>
      </w:tr>
    </w:tbl>
    <w:bookmarkEnd w:id="42"/>
    <w:p w14:paraId="5B74A835" w14:textId="1F4C64B7" w:rsidR="007D4FC0" w:rsidRDefault="007D4FC0" w:rsidP="00C82038">
      <w:pPr>
        <w:pStyle w:val="Caption"/>
        <w:tabs>
          <w:tab w:val="left" w:pos="1276"/>
        </w:tabs>
        <w:spacing w:after="48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6</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 xml:space="preserve">Збирни </w:t>
      </w:r>
      <w:proofErr w:type="spellStart"/>
      <w:r w:rsidRPr="00EC6422">
        <w:rPr>
          <w:rFonts w:ascii="Times New Roman" w:hAnsi="Times New Roman"/>
          <w:b w:val="0"/>
          <w:sz w:val="24"/>
          <w:szCs w:val="24"/>
          <w:lang w:val="sr-Cyrl-BA"/>
        </w:rPr>
        <w:t>преглед</w:t>
      </w:r>
      <w:proofErr w:type="spellEnd"/>
      <w:r w:rsidRPr="00EC6422">
        <w:rPr>
          <w:rFonts w:ascii="Times New Roman" w:hAnsi="Times New Roman"/>
          <w:b w:val="0"/>
          <w:sz w:val="24"/>
          <w:szCs w:val="24"/>
          <w:lang w:val="sr-Cyrl-BA"/>
        </w:rPr>
        <w:t xml:space="preserve"> емисија хартија од вриједности по врсти у </w:t>
      </w:r>
      <w:r w:rsidR="0091431E">
        <w:rPr>
          <w:rFonts w:ascii="Times New Roman" w:hAnsi="Times New Roman"/>
          <w:b w:val="0"/>
          <w:sz w:val="24"/>
          <w:szCs w:val="24"/>
          <w:lang w:val="sr-Cyrl-BA"/>
        </w:rPr>
        <w:t>2023</w:t>
      </w:r>
      <w:r w:rsidRPr="00EC6422">
        <w:rPr>
          <w:rFonts w:ascii="Times New Roman" w:hAnsi="Times New Roman"/>
          <w:b w:val="0"/>
          <w:sz w:val="24"/>
          <w:szCs w:val="24"/>
          <w:lang w:val="sr-Cyrl-BA"/>
        </w:rPr>
        <w:t xml:space="preserve">. </w:t>
      </w:r>
      <w:r w:rsidR="00F0610F">
        <w:rPr>
          <w:rFonts w:ascii="Times New Roman" w:hAnsi="Times New Roman"/>
          <w:b w:val="0"/>
          <w:sz w:val="24"/>
          <w:szCs w:val="24"/>
          <w:lang w:val="sr-Cyrl-BA"/>
        </w:rPr>
        <w:t>г</w:t>
      </w:r>
      <w:r w:rsidRPr="00EC6422">
        <w:rPr>
          <w:rFonts w:ascii="Times New Roman" w:hAnsi="Times New Roman"/>
          <w:b w:val="0"/>
          <w:sz w:val="24"/>
          <w:szCs w:val="24"/>
          <w:lang w:val="sr-Cyrl-BA"/>
        </w:rPr>
        <w:t>один</w:t>
      </w:r>
      <w:r w:rsidR="000B0DC6" w:rsidRPr="00EC6422">
        <w:rPr>
          <w:rFonts w:ascii="Times New Roman" w:hAnsi="Times New Roman"/>
          <w:b w:val="0"/>
          <w:sz w:val="24"/>
          <w:szCs w:val="24"/>
          <w:lang w:val="sr-Cyrl-BA"/>
        </w:rPr>
        <w:t>и</w:t>
      </w:r>
    </w:p>
    <w:tbl>
      <w:tblPr>
        <w:tblW w:w="8973" w:type="dxa"/>
        <w:tblInd w:w="94"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610"/>
        <w:gridCol w:w="2552"/>
        <w:gridCol w:w="708"/>
        <w:gridCol w:w="567"/>
        <w:gridCol w:w="1276"/>
        <w:gridCol w:w="284"/>
        <w:gridCol w:w="1417"/>
        <w:gridCol w:w="142"/>
        <w:gridCol w:w="1417"/>
      </w:tblGrid>
      <w:tr w:rsidR="0091431E" w:rsidRPr="00192C67" w14:paraId="56119A2C" w14:textId="77777777" w:rsidTr="0091431E">
        <w:trPr>
          <w:trHeight w:val="551"/>
        </w:trPr>
        <w:tc>
          <w:tcPr>
            <w:tcW w:w="610" w:type="dxa"/>
            <w:tcBorders>
              <w:bottom w:val="single" w:sz="18" w:space="0" w:color="548DD4" w:themeColor="text2" w:themeTint="99"/>
            </w:tcBorders>
            <w:shd w:val="clear" w:color="auto" w:fill="auto"/>
            <w:noWrap/>
            <w:vAlign w:val="center"/>
            <w:hideMark/>
          </w:tcPr>
          <w:p w14:paraId="0A4F5AD1" w14:textId="77777777" w:rsidR="0091431E" w:rsidRPr="00192C67" w:rsidRDefault="0091431E" w:rsidP="009F2A58">
            <w:pPr>
              <w:spacing w:before="0" w:after="60" w:line="240" w:lineRule="auto"/>
              <w:ind w:firstLine="0"/>
              <w:jc w:val="center"/>
              <w:rPr>
                <w:b/>
                <w:bCs/>
                <w:sz w:val="22"/>
                <w:szCs w:val="22"/>
                <w:lang w:val="sr-Cyrl-BA" w:eastAsia="bs-Latn-BA"/>
              </w:rPr>
            </w:pPr>
            <w:bookmarkStart w:id="43" w:name="_Hlk157593500"/>
            <w:r w:rsidRPr="00192C67">
              <w:rPr>
                <w:b/>
                <w:bCs/>
                <w:sz w:val="22"/>
                <w:szCs w:val="22"/>
                <w:lang w:val="sr-Cyrl-BA" w:eastAsia="bs-Latn-BA"/>
              </w:rPr>
              <w:t>Р. бр.</w:t>
            </w:r>
          </w:p>
        </w:tc>
        <w:tc>
          <w:tcPr>
            <w:tcW w:w="3260" w:type="dxa"/>
            <w:gridSpan w:val="2"/>
            <w:tcBorders>
              <w:bottom w:val="single" w:sz="18" w:space="0" w:color="548DD4" w:themeColor="text2" w:themeTint="99"/>
            </w:tcBorders>
            <w:shd w:val="clear" w:color="auto" w:fill="auto"/>
            <w:noWrap/>
            <w:vAlign w:val="center"/>
            <w:hideMark/>
          </w:tcPr>
          <w:p w14:paraId="215BC45E" w14:textId="77777777" w:rsidR="0091431E" w:rsidRPr="00192C67" w:rsidRDefault="0091431E" w:rsidP="009F2A58">
            <w:pPr>
              <w:spacing w:before="0" w:after="60" w:line="240" w:lineRule="auto"/>
              <w:ind w:firstLine="0"/>
              <w:jc w:val="center"/>
              <w:rPr>
                <w:b/>
                <w:bCs/>
                <w:sz w:val="22"/>
                <w:szCs w:val="22"/>
                <w:lang w:val="sr-Cyrl-BA" w:eastAsia="bs-Latn-BA"/>
              </w:rPr>
            </w:pPr>
            <w:proofErr w:type="spellStart"/>
            <w:r w:rsidRPr="00192C67">
              <w:rPr>
                <w:b/>
                <w:bCs/>
                <w:sz w:val="22"/>
                <w:szCs w:val="22"/>
                <w:lang w:val="sr-Cyrl-BA" w:eastAsia="bs-Latn-BA"/>
              </w:rPr>
              <w:t>Емитенти</w:t>
            </w:r>
            <w:proofErr w:type="spellEnd"/>
          </w:p>
        </w:tc>
        <w:tc>
          <w:tcPr>
            <w:tcW w:w="2127" w:type="dxa"/>
            <w:gridSpan w:val="3"/>
            <w:tcBorders>
              <w:bottom w:val="single" w:sz="18" w:space="0" w:color="548DD4" w:themeColor="text2" w:themeTint="99"/>
            </w:tcBorders>
            <w:shd w:val="clear" w:color="auto" w:fill="auto"/>
            <w:vAlign w:val="center"/>
            <w:hideMark/>
          </w:tcPr>
          <w:p w14:paraId="588905B7"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Редни број емисије и врста емитоване хартије</w:t>
            </w:r>
          </w:p>
        </w:tc>
        <w:tc>
          <w:tcPr>
            <w:tcW w:w="1559" w:type="dxa"/>
            <w:gridSpan w:val="2"/>
            <w:tcBorders>
              <w:bottom w:val="single" w:sz="18" w:space="0" w:color="548DD4" w:themeColor="text2" w:themeTint="99"/>
            </w:tcBorders>
            <w:shd w:val="clear" w:color="auto" w:fill="auto"/>
            <w:noWrap/>
            <w:vAlign w:val="center"/>
            <w:hideMark/>
          </w:tcPr>
          <w:p w14:paraId="1BAD26D5"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 xml:space="preserve">Обим емисије </w:t>
            </w:r>
          </w:p>
          <w:p w14:paraId="5CB77BB0"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(КМ)</w:t>
            </w:r>
          </w:p>
        </w:tc>
        <w:tc>
          <w:tcPr>
            <w:tcW w:w="1417" w:type="dxa"/>
            <w:tcBorders>
              <w:bottom w:val="single" w:sz="18" w:space="0" w:color="548DD4" w:themeColor="text2" w:themeTint="99"/>
            </w:tcBorders>
            <w:shd w:val="clear" w:color="auto" w:fill="auto"/>
            <w:vAlign w:val="center"/>
            <w:hideMark/>
          </w:tcPr>
          <w:p w14:paraId="061105A1"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Уплаћено (КМ)</w:t>
            </w:r>
          </w:p>
        </w:tc>
      </w:tr>
      <w:tr w:rsidR="0091431E" w:rsidRPr="00192C67" w14:paraId="5026DD8D" w14:textId="77777777" w:rsidTr="0091431E">
        <w:trPr>
          <w:trHeight w:val="264"/>
        </w:trPr>
        <w:tc>
          <w:tcPr>
            <w:tcW w:w="8973" w:type="dxa"/>
            <w:gridSpan w:val="9"/>
            <w:tcBorders>
              <w:top w:val="single" w:sz="18" w:space="0" w:color="548DD4" w:themeColor="text2" w:themeTint="99"/>
            </w:tcBorders>
            <w:shd w:val="clear" w:color="auto" w:fill="C6D9F1" w:themeFill="text2" w:themeFillTint="33"/>
            <w:noWrap/>
            <w:vAlign w:val="center"/>
            <w:hideMark/>
          </w:tcPr>
          <w:p w14:paraId="7C547C06"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rPr>
              <w:t>ЕМИСИЈЕ СА ОБАВЕЗОМ ОБЈАВЉИВАЊА ПРОСПЕКТА</w:t>
            </w:r>
          </w:p>
        </w:tc>
      </w:tr>
      <w:tr w:rsidR="0091431E" w:rsidRPr="00192C67" w14:paraId="4957EBC8" w14:textId="77777777" w:rsidTr="0091431E">
        <w:trPr>
          <w:trHeight w:val="264"/>
        </w:trPr>
        <w:tc>
          <w:tcPr>
            <w:tcW w:w="610" w:type="dxa"/>
            <w:shd w:val="clear" w:color="auto" w:fill="auto"/>
            <w:noWrap/>
            <w:vAlign w:val="center"/>
          </w:tcPr>
          <w:p w14:paraId="7E0E4F4C" w14:textId="77777777" w:rsidR="0091431E" w:rsidRPr="00192C67" w:rsidRDefault="0091431E" w:rsidP="009F2A58">
            <w:pPr>
              <w:spacing w:before="0" w:after="60" w:line="240" w:lineRule="auto"/>
              <w:ind w:firstLine="0"/>
              <w:jc w:val="center"/>
              <w:rPr>
                <w:bCs/>
                <w:sz w:val="22"/>
                <w:szCs w:val="22"/>
                <w:lang w:eastAsia="bs-Latn-BA"/>
              </w:rPr>
            </w:pPr>
            <w:r w:rsidRPr="00192C67">
              <w:rPr>
                <w:bCs/>
                <w:sz w:val="22"/>
                <w:szCs w:val="22"/>
                <w:lang w:eastAsia="bs-Latn-BA"/>
              </w:rPr>
              <w:t>1.</w:t>
            </w:r>
          </w:p>
        </w:tc>
        <w:tc>
          <w:tcPr>
            <w:tcW w:w="3260" w:type="dxa"/>
            <w:gridSpan w:val="2"/>
            <w:shd w:val="clear" w:color="auto" w:fill="auto"/>
            <w:vAlign w:val="center"/>
          </w:tcPr>
          <w:p w14:paraId="06051817"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Град Приједор</w:t>
            </w:r>
          </w:p>
        </w:tc>
        <w:tc>
          <w:tcPr>
            <w:tcW w:w="2127" w:type="dxa"/>
            <w:gridSpan w:val="3"/>
            <w:shd w:val="clear" w:color="auto" w:fill="auto"/>
            <w:vAlign w:val="center"/>
          </w:tcPr>
          <w:p w14:paraId="0C79D90A"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 (обвезнице)</w:t>
            </w:r>
          </w:p>
        </w:tc>
        <w:tc>
          <w:tcPr>
            <w:tcW w:w="1559" w:type="dxa"/>
            <w:gridSpan w:val="2"/>
            <w:shd w:val="clear" w:color="auto" w:fill="auto"/>
            <w:vAlign w:val="center"/>
          </w:tcPr>
          <w:p w14:paraId="39880E54"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5.500.000</w:t>
            </w:r>
          </w:p>
        </w:tc>
        <w:tc>
          <w:tcPr>
            <w:tcW w:w="1417" w:type="dxa"/>
            <w:shd w:val="clear" w:color="auto" w:fill="auto"/>
            <w:vAlign w:val="center"/>
          </w:tcPr>
          <w:p w14:paraId="339A811C"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5.500.000</w:t>
            </w:r>
          </w:p>
        </w:tc>
      </w:tr>
      <w:tr w:rsidR="0091431E" w:rsidRPr="00192C67" w14:paraId="7F49FF40" w14:textId="77777777" w:rsidTr="0091431E">
        <w:trPr>
          <w:trHeight w:val="264"/>
        </w:trPr>
        <w:tc>
          <w:tcPr>
            <w:tcW w:w="610" w:type="dxa"/>
            <w:shd w:val="clear" w:color="auto" w:fill="auto"/>
            <w:noWrap/>
            <w:vAlign w:val="center"/>
          </w:tcPr>
          <w:p w14:paraId="4CFD44FA"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2.</w:t>
            </w:r>
          </w:p>
        </w:tc>
        <w:tc>
          <w:tcPr>
            <w:tcW w:w="3260" w:type="dxa"/>
            <w:gridSpan w:val="2"/>
            <w:shd w:val="clear" w:color="auto" w:fill="auto"/>
            <w:vAlign w:val="center"/>
          </w:tcPr>
          <w:p w14:paraId="2B4C052F"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МКД „</w:t>
            </w:r>
            <w:proofErr w:type="spellStart"/>
            <w:r w:rsidRPr="00192C67">
              <w:rPr>
                <w:sz w:val="22"/>
                <w:szCs w:val="22"/>
                <w:lang w:val="sr-Cyrl-BA"/>
              </w:rPr>
              <w:t>Про</w:t>
            </w:r>
            <w:proofErr w:type="spellEnd"/>
            <w:r w:rsidRPr="00192C67">
              <w:rPr>
                <w:sz w:val="22"/>
                <w:szCs w:val="22"/>
                <w:lang w:val="sr-Cyrl-BA"/>
              </w:rPr>
              <w:t xml:space="preserve"> фин“ </w:t>
            </w:r>
            <w:proofErr w:type="spellStart"/>
            <w:r w:rsidRPr="00192C67">
              <w:rPr>
                <w:sz w:val="22"/>
                <w:szCs w:val="22"/>
                <w:lang w:val="sr-Cyrl-BA"/>
              </w:rPr>
              <w:t>д.о.о</w:t>
            </w:r>
            <w:proofErr w:type="spellEnd"/>
            <w:r w:rsidRPr="00192C67">
              <w:rPr>
                <w:sz w:val="22"/>
                <w:szCs w:val="22"/>
                <w:lang w:val="sr-Cyrl-BA"/>
              </w:rPr>
              <w:t>. Источно Сарајево</w:t>
            </w:r>
          </w:p>
        </w:tc>
        <w:tc>
          <w:tcPr>
            <w:tcW w:w="2127" w:type="dxa"/>
            <w:gridSpan w:val="3"/>
            <w:shd w:val="clear" w:color="auto" w:fill="auto"/>
            <w:vAlign w:val="center"/>
          </w:tcPr>
          <w:p w14:paraId="1E6FB82A"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5 (обвезнице)</w:t>
            </w:r>
          </w:p>
        </w:tc>
        <w:tc>
          <w:tcPr>
            <w:tcW w:w="1559" w:type="dxa"/>
            <w:gridSpan w:val="2"/>
            <w:shd w:val="clear" w:color="auto" w:fill="auto"/>
            <w:vAlign w:val="center"/>
          </w:tcPr>
          <w:p w14:paraId="3EF8DFCD"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1.000.000</w:t>
            </w:r>
          </w:p>
        </w:tc>
        <w:tc>
          <w:tcPr>
            <w:tcW w:w="1417" w:type="dxa"/>
            <w:shd w:val="clear" w:color="auto" w:fill="auto"/>
            <w:vAlign w:val="center"/>
          </w:tcPr>
          <w:p w14:paraId="6CAE8C51"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1.000.000</w:t>
            </w:r>
          </w:p>
        </w:tc>
      </w:tr>
      <w:tr w:rsidR="0091431E" w:rsidRPr="00192C67" w14:paraId="046A6B62" w14:textId="77777777" w:rsidTr="0091431E">
        <w:trPr>
          <w:trHeight w:val="264"/>
        </w:trPr>
        <w:tc>
          <w:tcPr>
            <w:tcW w:w="610" w:type="dxa"/>
            <w:shd w:val="clear" w:color="auto" w:fill="auto"/>
            <w:noWrap/>
            <w:vAlign w:val="center"/>
          </w:tcPr>
          <w:p w14:paraId="54D235F5"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3.</w:t>
            </w:r>
          </w:p>
        </w:tc>
        <w:tc>
          <w:tcPr>
            <w:tcW w:w="3260" w:type="dxa"/>
            <w:gridSpan w:val="2"/>
            <w:shd w:val="clear" w:color="auto" w:fill="auto"/>
            <w:vAlign w:val="center"/>
          </w:tcPr>
          <w:p w14:paraId="1F6CCDA6"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МКД „Таурус“ </w:t>
            </w:r>
            <w:proofErr w:type="spellStart"/>
            <w:r w:rsidRPr="00192C67">
              <w:rPr>
                <w:sz w:val="22"/>
                <w:szCs w:val="22"/>
                <w:lang w:val="sr-Cyrl-BA"/>
              </w:rPr>
              <w:t>д.о.о</w:t>
            </w:r>
            <w:proofErr w:type="spellEnd"/>
            <w:r w:rsidRPr="00192C67">
              <w:rPr>
                <w:sz w:val="22"/>
                <w:szCs w:val="22"/>
                <w:lang w:val="sr-Cyrl-BA"/>
              </w:rPr>
              <w:t>. Бања Лука</w:t>
            </w:r>
          </w:p>
        </w:tc>
        <w:tc>
          <w:tcPr>
            <w:tcW w:w="2127" w:type="dxa"/>
            <w:gridSpan w:val="3"/>
            <w:shd w:val="clear" w:color="auto" w:fill="auto"/>
            <w:vAlign w:val="center"/>
          </w:tcPr>
          <w:p w14:paraId="2C1A2462"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4 (обвезнице)</w:t>
            </w:r>
          </w:p>
        </w:tc>
        <w:tc>
          <w:tcPr>
            <w:tcW w:w="1559" w:type="dxa"/>
            <w:gridSpan w:val="2"/>
            <w:shd w:val="clear" w:color="auto" w:fill="auto"/>
            <w:vAlign w:val="center"/>
          </w:tcPr>
          <w:p w14:paraId="01F29D98"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1.000.000</w:t>
            </w:r>
          </w:p>
        </w:tc>
        <w:tc>
          <w:tcPr>
            <w:tcW w:w="1417" w:type="dxa"/>
            <w:shd w:val="clear" w:color="auto" w:fill="auto"/>
            <w:vAlign w:val="center"/>
          </w:tcPr>
          <w:p w14:paraId="53948977"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1.000.000</w:t>
            </w:r>
          </w:p>
        </w:tc>
      </w:tr>
      <w:tr w:rsidR="0091431E" w:rsidRPr="00192C67" w14:paraId="333171A3" w14:textId="77777777" w:rsidTr="0091431E">
        <w:trPr>
          <w:trHeight w:val="264"/>
        </w:trPr>
        <w:tc>
          <w:tcPr>
            <w:tcW w:w="610" w:type="dxa"/>
            <w:shd w:val="clear" w:color="auto" w:fill="auto"/>
            <w:noWrap/>
            <w:vAlign w:val="center"/>
          </w:tcPr>
          <w:p w14:paraId="01A64E38"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4.</w:t>
            </w:r>
          </w:p>
        </w:tc>
        <w:tc>
          <w:tcPr>
            <w:tcW w:w="3260" w:type="dxa"/>
            <w:gridSpan w:val="2"/>
            <w:shd w:val="clear" w:color="auto" w:fill="auto"/>
            <w:vAlign w:val="center"/>
          </w:tcPr>
          <w:p w14:paraId="641375FC"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w:t>
            </w:r>
            <w:proofErr w:type="spellStart"/>
            <w:r w:rsidRPr="00192C67">
              <w:rPr>
                <w:sz w:val="22"/>
                <w:szCs w:val="22"/>
                <w:lang w:val="sr-Cyrl-BA"/>
              </w:rPr>
              <w:t>Интерлигнум</w:t>
            </w:r>
            <w:proofErr w:type="spellEnd"/>
            <w:r w:rsidRPr="00192C67">
              <w:rPr>
                <w:sz w:val="22"/>
                <w:szCs w:val="22"/>
                <w:lang w:val="sr-Cyrl-BA"/>
              </w:rPr>
              <w:t xml:space="preserve">“ </w:t>
            </w:r>
            <w:proofErr w:type="spellStart"/>
            <w:r w:rsidRPr="00192C67">
              <w:rPr>
                <w:sz w:val="22"/>
                <w:szCs w:val="22"/>
                <w:lang w:val="sr-Cyrl-BA"/>
              </w:rPr>
              <w:t>д.о.о</w:t>
            </w:r>
            <w:proofErr w:type="spellEnd"/>
            <w:r w:rsidRPr="00192C67">
              <w:rPr>
                <w:sz w:val="22"/>
                <w:szCs w:val="22"/>
                <w:lang w:val="sr-Cyrl-BA"/>
              </w:rPr>
              <w:t>. Теслић</w:t>
            </w:r>
          </w:p>
        </w:tc>
        <w:tc>
          <w:tcPr>
            <w:tcW w:w="2127" w:type="dxa"/>
            <w:gridSpan w:val="3"/>
            <w:shd w:val="clear" w:color="auto" w:fill="auto"/>
            <w:vAlign w:val="center"/>
          </w:tcPr>
          <w:p w14:paraId="59A234DD"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2 (обвезнице)</w:t>
            </w:r>
          </w:p>
        </w:tc>
        <w:tc>
          <w:tcPr>
            <w:tcW w:w="1559" w:type="dxa"/>
            <w:gridSpan w:val="2"/>
            <w:shd w:val="clear" w:color="auto" w:fill="auto"/>
            <w:vAlign w:val="center"/>
          </w:tcPr>
          <w:p w14:paraId="3ED2F24E"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c>
          <w:tcPr>
            <w:tcW w:w="1417" w:type="dxa"/>
            <w:shd w:val="clear" w:color="auto" w:fill="auto"/>
            <w:vAlign w:val="center"/>
          </w:tcPr>
          <w:p w14:paraId="3DA66304"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r>
      <w:tr w:rsidR="0091431E" w:rsidRPr="00192C67" w14:paraId="4978BC7D" w14:textId="77777777" w:rsidTr="0091431E">
        <w:trPr>
          <w:trHeight w:val="264"/>
        </w:trPr>
        <w:tc>
          <w:tcPr>
            <w:tcW w:w="610" w:type="dxa"/>
            <w:shd w:val="clear" w:color="auto" w:fill="auto"/>
            <w:noWrap/>
            <w:vAlign w:val="center"/>
          </w:tcPr>
          <w:p w14:paraId="0AE1443F"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5.</w:t>
            </w:r>
          </w:p>
        </w:tc>
        <w:tc>
          <w:tcPr>
            <w:tcW w:w="3260" w:type="dxa"/>
            <w:gridSpan w:val="2"/>
            <w:shd w:val="clear" w:color="auto" w:fill="auto"/>
            <w:vAlign w:val="center"/>
          </w:tcPr>
          <w:p w14:paraId="7F03EA0B"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„Наша банка“ </w:t>
            </w:r>
            <w:proofErr w:type="spellStart"/>
            <w:r w:rsidRPr="00192C67">
              <w:rPr>
                <w:sz w:val="22"/>
                <w:szCs w:val="22"/>
                <w:lang w:val="sr-Cyrl-BA"/>
              </w:rPr>
              <w:t>a.д</w:t>
            </w:r>
            <w:proofErr w:type="spellEnd"/>
            <w:r w:rsidRPr="00192C67">
              <w:rPr>
                <w:sz w:val="22"/>
                <w:szCs w:val="22"/>
                <w:lang w:val="sr-Cyrl-BA"/>
              </w:rPr>
              <w:t>. Бања Лука</w:t>
            </w:r>
          </w:p>
        </w:tc>
        <w:tc>
          <w:tcPr>
            <w:tcW w:w="2127" w:type="dxa"/>
            <w:gridSpan w:val="3"/>
            <w:shd w:val="clear" w:color="auto" w:fill="auto"/>
            <w:vAlign w:val="center"/>
          </w:tcPr>
          <w:p w14:paraId="54369AEF"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22 (акције)</w:t>
            </w:r>
          </w:p>
        </w:tc>
        <w:tc>
          <w:tcPr>
            <w:tcW w:w="1559" w:type="dxa"/>
            <w:gridSpan w:val="2"/>
            <w:shd w:val="clear" w:color="auto" w:fill="auto"/>
            <w:vAlign w:val="center"/>
          </w:tcPr>
          <w:p w14:paraId="4DE2B53D"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3.125.000</w:t>
            </w:r>
          </w:p>
        </w:tc>
        <w:tc>
          <w:tcPr>
            <w:tcW w:w="1417" w:type="dxa"/>
            <w:shd w:val="clear" w:color="auto" w:fill="auto"/>
            <w:vAlign w:val="center"/>
          </w:tcPr>
          <w:p w14:paraId="0D4FCD04"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2.500.000</w:t>
            </w:r>
          </w:p>
        </w:tc>
      </w:tr>
      <w:tr w:rsidR="0091431E" w:rsidRPr="00192C67" w14:paraId="61DF2906" w14:textId="77777777" w:rsidTr="0091431E">
        <w:trPr>
          <w:trHeight w:val="264"/>
        </w:trPr>
        <w:tc>
          <w:tcPr>
            <w:tcW w:w="610" w:type="dxa"/>
            <w:shd w:val="clear" w:color="auto" w:fill="auto"/>
            <w:noWrap/>
            <w:vAlign w:val="center"/>
          </w:tcPr>
          <w:p w14:paraId="37E3DD6E"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6.</w:t>
            </w:r>
          </w:p>
        </w:tc>
        <w:tc>
          <w:tcPr>
            <w:tcW w:w="3260" w:type="dxa"/>
            <w:gridSpan w:val="2"/>
            <w:shd w:val="clear" w:color="auto" w:fill="auto"/>
            <w:vAlign w:val="center"/>
          </w:tcPr>
          <w:p w14:paraId="3BB28C85"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„Крајина осигурање“ </w:t>
            </w:r>
            <w:proofErr w:type="spellStart"/>
            <w:r w:rsidRPr="00192C67">
              <w:rPr>
                <w:sz w:val="22"/>
                <w:szCs w:val="22"/>
                <w:lang w:val="sr-Cyrl-BA"/>
              </w:rPr>
              <w:t>а.д</w:t>
            </w:r>
            <w:proofErr w:type="spellEnd"/>
            <w:r w:rsidRPr="00192C67">
              <w:rPr>
                <w:sz w:val="22"/>
                <w:szCs w:val="22"/>
                <w:lang w:val="sr-Cyrl-BA"/>
              </w:rPr>
              <w:t>. Бања Лука</w:t>
            </w:r>
          </w:p>
        </w:tc>
        <w:tc>
          <w:tcPr>
            <w:tcW w:w="2127" w:type="dxa"/>
            <w:gridSpan w:val="3"/>
            <w:shd w:val="clear" w:color="auto" w:fill="auto"/>
            <w:vAlign w:val="center"/>
          </w:tcPr>
          <w:p w14:paraId="4BC58FB3"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5 (акције)</w:t>
            </w:r>
          </w:p>
        </w:tc>
        <w:tc>
          <w:tcPr>
            <w:tcW w:w="1559" w:type="dxa"/>
            <w:gridSpan w:val="2"/>
            <w:shd w:val="clear" w:color="auto" w:fill="auto"/>
            <w:vAlign w:val="center"/>
          </w:tcPr>
          <w:p w14:paraId="7526A782"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3.100.000</w:t>
            </w:r>
          </w:p>
        </w:tc>
        <w:tc>
          <w:tcPr>
            <w:tcW w:w="1417" w:type="dxa"/>
            <w:shd w:val="clear" w:color="auto" w:fill="auto"/>
            <w:vAlign w:val="center"/>
          </w:tcPr>
          <w:p w14:paraId="66F50C21"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899.000</w:t>
            </w:r>
          </w:p>
        </w:tc>
      </w:tr>
      <w:tr w:rsidR="0091431E" w:rsidRPr="00192C67" w14:paraId="5D6A2E92" w14:textId="77777777" w:rsidTr="0091431E">
        <w:trPr>
          <w:trHeight w:val="264"/>
        </w:trPr>
        <w:tc>
          <w:tcPr>
            <w:tcW w:w="610" w:type="dxa"/>
            <w:shd w:val="clear" w:color="auto" w:fill="auto"/>
            <w:noWrap/>
            <w:vAlign w:val="center"/>
          </w:tcPr>
          <w:p w14:paraId="4935BF9E"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7.</w:t>
            </w:r>
          </w:p>
        </w:tc>
        <w:tc>
          <w:tcPr>
            <w:tcW w:w="3260" w:type="dxa"/>
            <w:gridSpan w:val="2"/>
            <w:shd w:val="clear" w:color="auto" w:fill="auto"/>
            <w:vAlign w:val="center"/>
          </w:tcPr>
          <w:p w14:paraId="2E04F494"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w:t>
            </w:r>
            <w:r w:rsidRPr="00192C67">
              <w:rPr>
                <w:sz w:val="22"/>
                <w:szCs w:val="22"/>
                <w:lang w:val="sr-Latn-BA"/>
              </w:rPr>
              <w:t>Smart solution</w:t>
            </w:r>
            <w:r w:rsidRPr="00192C67">
              <w:rPr>
                <w:sz w:val="22"/>
                <w:szCs w:val="22"/>
                <w:lang w:val="sr-Cyrl-BA"/>
              </w:rPr>
              <w:t xml:space="preserve">“ </w:t>
            </w:r>
            <w:proofErr w:type="spellStart"/>
            <w:r w:rsidRPr="00192C67">
              <w:rPr>
                <w:sz w:val="22"/>
                <w:szCs w:val="22"/>
                <w:lang w:val="sr-Cyrl-BA"/>
              </w:rPr>
              <w:t>д.о.о</w:t>
            </w:r>
            <w:proofErr w:type="spellEnd"/>
            <w:r w:rsidRPr="00192C67">
              <w:rPr>
                <w:sz w:val="22"/>
                <w:szCs w:val="22"/>
                <w:lang w:val="sr-Cyrl-BA"/>
              </w:rPr>
              <w:t>. Бања Лука</w:t>
            </w:r>
          </w:p>
        </w:tc>
        <w:tc>
          <w:tcPr>
            <w:tcW w:w="2127" w:type="dxa"/>
            <w:gridSpan w:val="3"/>
            <w:shd w:val="clear" w:color="auto" w:fill="auto"/>
            <w:vAlign w:val="center"/>
          </w:tcPr>
          <w:p w14:paraId="0F27A5FD"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 (обвезнице)</w:t>
            </w:r>
          </w:p>
        </w:tc>
        <w:tc>
          <w:tcPr>
            <w:tcW w:w="1559" w:type="dxa"/>
            <w:gridSpan w:val="2"/>
            <w:shd w:val="clear" w:color="auto" w:fill="auto"/>
            <w:vAlign w:val="center"/>
          </w:tcPr>
          <w:p w14:paraId="7F1794AD"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700.000</w:t>
            </w:r>
          </w:p>
        </w:tc>
        <w:tc>
          <w:tcPr>
            <w:tcW w:w="1417" w:type="dxa"/>
            <w:shd w:val="clear" w:color="auto" w:fill="auto"/>
            <w:vAlign w:val="center"/>
          </w:tcPr>
          <w:p w14:paraId="46AFB2C6"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700.000</w:t>
            </w:r>
          </w:p>
        </w:tc>
      </w:tr>
      <w:tr w:rsidR="0091431E" w:rsidRPr="00192C67" w14:paraId="2E0EC004" w14:textId="77777777" w:rsidTr="0091431E">
        <w:trPr>
          <w:trHeight w:val="264"/>
        </w:trPr>
        <w:tc>
          <w:tcPr>
            <w:tcW w:w="610" w:type="dxa"/>
            <w:shd w:val="clear" w:color="auto" w:fill="auto"/>
            <w:noWrap/>
            <w:vAlign w:val="center"/>
          </w:tcPr>
          <w:p w14:paraId="4D896C4F"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8.</w:t>
            </w:r>
          </w:p>
        </w:tc>
        <w:tc>
          <w:tcPr>
            <w:tcW w:w="3260" w:type="dxa"/>
            <w:gridSpan w:val="2"/>
            <w:shd w:val="clear" w:color="auto" w:fill="auto"/>
            <w:vAlign w:val="center"/>
          </w:tcPr>
          <w:p w14:paraId="2C0CE14D"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МКД „</w:t>
            </w:r>
            <w:proofErr w:type="spellStart"/>
            <w:r w:rsidRPr="00192C67">
              <w:rPr>
                <w:sz w:val="22"/>
                <w:szCs w:val="22"/>
                <w:lang w:val="sr-Cyrl-BA"/>
              </w:rPr>
              <w:t>Про</w:t>
            </w:r>
            <w:proofErr w:type="spellEnd"/>
            <w:r w:rsidRPr="00192C67">
              <w:rPr>
                <w:sz w:val="22"/>
                <w:szCs w:val="22"/>
                <w:lang w:val="sr-Cyrl-BA"/>
              </w:rPr>
              <w:t xml:space="preserve"> фин“ </w:t>
            </w:r>
            <w:proofErr w:type="spellStart"/>
            <w:r w:rsidRPr="00192C67">
              <w:rPr>
                <w:sz w:val="22"/>
                <w:szCs w:val="22"/>
                <w:lang w:val="sr-Cyrl-BA"/>
              </w:rPr>
              <w:t>д.о.о</w:t>
            </w:r>
            <w:proofErr w:type="spellEnd"/>
            <w:r w:rsidRPr="00192C67">
              <w:rPr>
                <w:sz w:val="22"/>
                <w:szCs w:val="22"/>
                <w:lang w:val="sr-Cyrl-BA"/>
              </w:rPr>
              <w:t>. Источно Сарајево</w:t>
            </w:r>
          </w:p>
        </w:tc>
        <w:tc>
          <w:tcPr>
            <w:tcW w:w="2127" w:type="dxa"/>
            <w:gridSpan w:val="3"/>
            <w:shd w:val="clear" w:color="auto" w:fill="auto"/>
            <w:vAlign w:val="center"/>
          </w:tcPr>
          <w:p w14:paraId="052C0F35"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6 (обвезнице)</w:t>
            </w:r>
          </w:p>
        </w:tc>
        <w:tc>
          <w:tcPr>
            <w:tcW w:w="1559" w:type="dxa"/>
            <w:gridSpan w:val="2"/>
            <w:shd w:val="clear" w:color="auto" w:fill="auto"/>
            <w:vAlign w:val="center"/>
          </w:tcPr>
          <w:p w14:paraId="06501BA1"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1.600.000</w:t>
            </w:r>
          </w:p>
        </w:tc>
        <w:tc>
          <w:tcPr>
            <w:tcW w:w="1417" w:type="dxa"/>
            <w:shd w:val="clear" w:color="auto" w:fill="auto"/>
            <w:vAlign w:val="center"/>
          </w:tcPr>
          <w:p w14:paraId="4A40ABE1"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1.600.000</w:t>
            </w:r>
          </w:p>
        </w:tc>
      </w:tr>
      <w:tr w:rsidR="0091431E" w:rsidRPr="00192C67" w14:paraId="52512684" w14:textId="77777777" w:rsidTr="0091431E">
        <w:trPr>
          <w:trHeight w:val="264"/>
        </w:trPr>
        <w:tc>
          <w:tcPr>
            <w:tcW w:w="610" w:type="dxa"/>
            <w:shd w:val="clear" w:color="auto" w:fill="auto"/>
            <w:noWrap/>
            <w:vAlign w:val="center"/>
          </w:tcPr>
          <w:p w14:paraId="06E914CD"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9.</w:t>
            </w:r>
          </w:p>
        </w:tc>
        <w:tc>
          <w:tcPr>
            <w:tcW w:w="3260" w:type="dxa"/>
            <w:gridSpan w:val="2"/>
            <w:shd w:val="clear" w:color="auto" w:fill="auto"/>
            <w:vAlign w:val="center"/>
          </w:tcPr>
          <w:p w14:paraId="36CFAA8E"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Друштво за производњу металних производа „МЕТАЛ“ </w:t>
            </w:r>
            <w:proofErr w:type="spellStart"/>
            <w:r w:rsidRPr="00192C67">
              <w:rPr>
                <w:sz w:val="22"/>
                <w:szCs w:val="22"/>
                <w:lang w:val="sr-Cyrl-BA"/>
              </w:rPr>
              <w:t>а.д</w:t>
            </w:r>
            <w:proofErr w:type="spellEnd"/>
            <w:r w:rsidRPr="00192C67">
              <w:rPr>
                <w:sz w:val="22"/>
                <w:szCs w:val="22"/>
                <w:lang w:val="sr-Cyrl-BA"/>
              </w:rPr>
              <w:t>. Градишка</w:t>
            </w:r>
          </w:p>
        </w:tc>
        <w:tc>
          <w:tcPr>
            <w:tcW w:w="2127" w:type="dxa"/>
            <w:gridSpan w:val="3"/>
            <w:shd w:val="clear" w:color="auto" w:fill="auto"/>
            <w:vAlign w:val="center"/>
          </w:tcPr>
          <w:p w14:paraId="57CED842"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3 (акције)</w:t>
            </w:r>
          </w:p>
        </w:tc>
        <w:tc>
          <w:tcPr>
            <w:tcW w:w="1559" w:type="dxa"/>
            <w:gridSpan w:val="2"/>
            <w:shd w:val="clear" w:color="auto" w:fill="auto"/>
            <w:vAlign w:val="center"/>
          </w:tcPr>
          <w:p w14:paraId="354B518A"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4.700.000</w:t>
            </w:r>
          </w:p>
        </w:tc>
        <w:tc>
          <w:tcPr>
            <w:tcW w:w="1417" w:type="dxa"/>
            <w:shd w:val="clear" w:color="auto" w:fill="auto"/>
            <w:vAlign w:val="center"/>
          </w:tcPr>
          <w:p w14:paraId="2583F4C0"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4.030.554</w:t>
            </w:r>
          </w:p>
        </w:tc>
      </w:tr>
      <w:tr w:rsidR="0091431E" w:rsidRPr="00192C67" w14:paraId="22AD1610" w14:textId="77777777" w:rsidTr="0091431E">
        <w:trPr>
          <w:trHeight w:val="264"/>
        </w:trPr>
        <w:tc>
          <w:tcPr>
            <w:tcW w:w="610" w:type="dxa"/>
            <w:shd w:val="clear" w:color="auto" w:fill="auto"/>
            <w:noWrap/>
            <w:vAlign w:val="center"/>
          </w:tcPr>
          <w:p w14:paraId="0E3F7BB6"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10.</w:t>
            </w:r>
          </w:p>
        </w:tc>
        <w:tc>
          <w:tcPr>
            <w:tcW w:w="3260" w:type="dxa"/>
            <w:gridSpan w:val="2"/>
            <w:shd w:val="clear" w:color="auto" w:fill="auto"/>
            <w:vAlign w:val="center"/>
          </w:tcPr>
          <w:p w14:paraId="34799BDB"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Дрвна индустрија „Шипово“ </w:t>
            </w:r>
            <w:proofErr w:type="spellStart"/>
            <w:r w:rsidRPr="00192C67">
              <w:rPr>
                <w:sz w:val="22"/>
                <w:szCs w:val="22"/>
                <w:lang w:val="sr-Cyrl-BA"/>
              </w:rPr>
              <w:t>д.о.о</w:t>
            </w:r>
            <w:proofErr w:type="spellEnd"/>
            <w:r w:rsidRPr="00192C67">
              <w:rPr>
                <w:sz w:val="22"/>
                <w:szCs w:val="22"/>
                <w:lang w:val="sr-Cyrl-BA"/>
              </w:rPr>
              <w:t>. Шипово</w:t>
            </w:r>
          </w:p>
        </w:tc>
        <w:tc>
          <w:tcPr>
            <w:tcW w:w="2127" w:type="dxa"/>
            <w:gridSpan w:val="3"/>
            <w:shd w:val="clear" w:color="auto" w:fill="auto"/>
            <w:vAlign w:val="center"/>
          </w:tcPr>
          <w:p w14:paraId="385CF6E0"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 (обвезнице)</w:t>
            </w:r>
          </w:p>
        </w:tc>
        <w:tc>
          <w:tcPr>
            <w:tcW w:w="1559" w:type="dxa"/>
            <w:gridSpan w:val="2"/>
            <w:shd w:val="clear" w:color="auto" w:fill="auto"/>
            <w:vAlign w:val="center"/>
          </w:tcPr>
          <w:p w14:paraId="6177D2CE"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2.200.000</w:t>
            </w:r>
          </w:p>
        </w:tc>
        <w:tc>
          <w:tcPr>
            <w:tcW w:w="1417" w:type="dxa"/>
            <w:shd w:val="clear" w:color="auto" w:fill="auto"/>
            <w:vAlign w:val="center"/>
          </w:tcPr>
          <w:p w14:paraId="4CDF0419"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2.200.000</w:t>
            </w:r>
          </w:p>
        </w:tc>
      </w:tr>
      <w:tr w:rsidR="0091431E" w:rsidRPr="00192C67" w14:paraId="17BB7E16" w14:textId="77777777" w:rsidTr="0091431E">
        <w:trPr>
          <w:trHeight w:val="264"/>
        </w:trPr>
        <w:tc>
          <w:tcPr>
            <w:tcW w:w="610" w:type="dxa"/>
            <w:shd w:val="clear" w:color="auto" w:fill="auto"/>
            <w:noWrap/>
            <w:vAlign w:val="center"/>
          </w:tcPr>
          <w:p w14:paraId="65343BA0"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11.</w:t>
            </w:r>
          </w:p>
        </w:tc>
        <w:tc>
          <w:tcPr>
            <w:tcW w:w="3260" w:type="dxa"/>
            <w:gridSpan w:val="2"/>
            <w:shd w:val="clear" w:color="auto" w:fill="auto"/>
            <w:vAlign w:val="center"/>
          </w:tcPr>
          <w:p w14:paraId="1FE064D5" w14:textId="77777777" w:rsidR="0091431E" w:rsidRPr="00192C67" w:rsidRDefault="0091431E" w:rsidP="009F2A58">
            <w:pPr>
              <w:spacing w:before="0" w:after="60" w:line="240" w:lineRule="auto"/>
              <w:ind w:firstLine="0"/>
              <w:jc w:val="left"/>
              <w:outlineLvl w:val="1"/>
              <w:rPr>
                <w:sz w:val="22"/>
                <w:szCs w:val="22"/>
                <w:lang w:val="sr-Cyrl-BA"/>
              </w:rPr>
            </w:pPr>
            <w:proofErr w:type="spellStart"/>
            <w:r w:rsidRPr="00192C67">
              <w:rPr>
                <w:sz w:val="22"/>
                <w:szCs w:val="22"/>
                <w:lang w:val="sr-Cyrl-BA"/>
              </w:rPr>
              <w:t>Микрокредитно</w:t>
            </w:r>
            <w:proofErr w:type="spellEnd"/>
            <w:r w:rsidRPr="00192C67">
              <w:rPr>
                <w:sz w:val="22"/>
                <w:szCs w:val="22"/>
                <w:lang w:val="sr-Cyrl-BA"/>
              </w:rPr>
              <w:t xml:space="preserve"> друштво „CREDIS“ акционарско друштво Бања Лука</w:t>
            </w:r>
          </w:p>
        </w:tc>
        <w:tc>
          <w:tcPr>
            <w:tcW w:w="2127" w:type="dxa"/>
            <w:gridSpan w:val="3"/>
            <w:shd w:val="clear" w:color="auto" w:fill="auto"/>
            <w:vAlign w:val="center"/>
          </w:tcPr>
          <w:p w14:paraId="7E8914F2"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10 (обвезнице)</w:t>
            </w:r>
          </w:p>
        </w:tc>
        <w:tc>
          <w:tcPr>
            <w:tcW w:w="1559" w:type="dxa"/>
            <w:gridSpan w:val="2"/>
            <w:shd w:val="clear" w:color="auto" w:fill="auto"/>
            <w:vAlign w:val="center"/>
          </w:tcPr>
          <w:p w14:paraId="6BF57263"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1.600.000</w:t>
            </w:r>
          </w:p>
        </w:tc>
        <w:tc>
          <w:tcPr>
            <w:tcW w:w="1417" w:type="dxa"/>
            <w:shd w:val="clear" w:color="auto" w:fill="auto"/>
            <w:vAlign w:val="center"/>
          </w:tcPr>
          <w:p w14:paraId="42321E26"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1.600.000</w:t>
            </w:r>
          </w:p>
        </w:tc>
      </w:tr>
      <w:tr w:rsidR="0091431E" w:rsidRPr="00192C67" w14:paraId="1FA4CB00" w14:textId="77777777" w:rsidTr="0091431E">
        <w:trPr>
          <w:trHeight w:val="264"/>
        </w:trPr>
        <w:tc>
          <w:tcPr>
            <w:tcW w:w="610" w:type="dxa"/>
            <w:shd w:val="clear" w:color="auto" w:fill="auto"/>
            <w:noWrap/>
            <w:vAlign w:val="center"/>
          </w:tcPr>
          <w:p w14:paraId="0EE0C326"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12.</w:t>
            </w:r>
          </w:p>
        </w:tc>
        <w:tc>
          <w:tcPr>
            <w:tcW w:w="3260" w:type="dxa"/>
            <w:gridSpan w:val="2"/>
            <w:shd w:val="clear" w:color="auto" w:fill="auto"/>
            <w:vAlign w:val="center"/>
          </w:tcPr>
          <w:p w14:paraId="5FAB4246" w14:textId="77777777" w:rsidR="0091431E" w:rsidRPr="00192C67" w:rsidRDefault="0091431E" w:rsidP="009F2A58">
            <w:pPr>
              <w:spacing w:before="0" w:after="60" w:line="240" w:lineRule="auto"/>
              <w:ind w:firstLine="0"/>
              <w:jc w:val="left"/>
              <w:outlineLvl w:val="1"/>
              <w:rPr>
                <w:sz w:val="22"/>
                <w:szCs w:val="22"/>
                <w:lang w:val="sr-Cyrl-BA"/>
              </w:rPr>
            </w:pPr>
            <w:proofErr w:type="spellStart"/>
            <w:r w:rsidRPr="00192C67">
              <w:rPr>
                <w:sz w:val="22"/>
                <w:szCs w:val="22"/>
                <w:lang w:val="sr-Cyrl-BA"/>
              </w:rPr>
              <w:t>Микрокредитно</w:t>
            </w:r>
            <w:proofErr w:type="spellEnd"/>
            <w:r w:rsidRPr="00192C67">
              <w:rPr>
                <w:sz w:val="22"/>
                <w:szCs w:val="22"/>
                <w:lang w:val="sr-Cyrl-BA"/>
              </w:rPr>
              <w:t xml:space="preserve"> друштво „ПРИВРЕДНИК“ </w:t>
            </w:r>
            <w:proofErr w:type="spellStart"/>
            <w:r w:rsidRPr="00192C67">
              <w:rPr>
                <w:sz w:val="22"/>
                <w:szCs w:val="22"/>
                <w:lang w:val="sr-Cyrl-BA"/>
              </w:rPr>
              <w:t>д.о.о</w:t>
            </w:r>
            <w:proofErr w:type="spellEnd"/>
            <w:r w:rsidRPr="00192C67">
              <w:rPr>
                <w:sz w:val="22"/>
                <w:szCs w:val="22"/>
                <w:lang w:val="sr-Cyrl-BA"/>
              </w:rPr>
              <w:t>. Бијељина</w:t>
            </w:r>
          </w:p>
        </w:tc>
        <w:tc>
          <w:tcPr>
            <w:tcW w:w="2127" w:type="dxa"/>
            <w:gridSpan w:val="3"/>
            <w:shd w:val="clear" w:color="auto" w:fill="auto"/>
            <w:vAlign w:val="center"/>
          </w:tcPr>
          <w:p w14:paraId="481A5D7B"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3 (обвезнице)</w:t>
            </w:r>
          </w:p>
        </w:tc>
        <w:tc>
          <w:tcPr>
            <w:tcW w:w="1559" w:type="dxa"/>
            <w:gridSpan w:val="2"/>
            <w:shd w:val="clear" w:color="auto" w:fill="auto"/>
            <w:vAlign w:val="center"/>
          </w:tcPr>
          <w:p w14:paraId="368120A9"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1.500.000</w:t>
            </w:r>
          </w:p>
        </w:tc>
        <w:tc>
          <w:tcPr>
            <w:tcW w:w="1417" w:type="dxa"/>
            <w:shd w:val="clear" w:color="auto" w:fill="auto"/>
            <w:vAlign w:val="center"/>
          </w:tcPr>
          <w:p w14:paraId="12CEB93B"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1.500.000</w:t>
            </w:r>
          </w:p>
        </w:tc>
      </w:tr>
      <w:tr w:rsidR="0091431E" w:rsidRPr="00192C67" w14:paraId="26E32CDC" w14:textId="77777777" w:rsidTr="0091431E">
        <w:trPr>
          <w:trHeight w:val="264"/>
        </w:trPr>
        <w:tc>
          <w:tcPr>
            <w:tcW w:w="610" w:type="dxa"/>
            <w:shd w:val="clear" w:color="auto" w:fill="auto"/>
            <w:noWrap/>
            <w:vAlign w:val="center"/>
          </w:tcPr>
          <w:p w14:paraId="100C8C2E"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13.</w:t>
            </w:r>
          </w:p>
        </w:tc>
        <w:tc>
          <w:tcPr>
            <w:tcW w:w="3260" w:type="dxa"/>
            <w:gridSpan w:val="2"/>
            <w:shd w:val="clear" w:color="auto" w:fill="auto"/>
            <w:vAlign w:val="center"/>
          </w:tcPr>
          <w:p w14:paraId="4C6A77A2" w14:textId="77777777" w:rsidR="0091431E" w:rsidRPr="00192C67" w:rsidRDefault="0091431E" w:rsidP="009F2A58">
            <w:pPr>
              <w:spacing w:before="0" w:after="60" w:line="240" w:lineRule="auto"/>
              <w:ind w:firstLine="0"/>
              <w:jc w:val="left"/>
              <w:outlineLvl w:val="1"/>
              <w:rPr>
                <w:sz w:val="22"/>
                <w:szCs w:val="22"/>
                <w:lang w:val="sr-Cyrl-BA"/>
              </w:rPr>
            </w:pPr>
            <w:proofErr w:type="spellStart"/>
            <w:r w:rsidRPr="00192C67">
              <w:rPr>
                <w:sz w:val="22"/>
                <w:szCs w:val="22"/>
                <w:lang w:val="sr-Cyrl-BA"/>
              </w:rPr>
              <w:t>Микрокредитно</w:t>
            </w:r>
            <w:proofErr w:type="spellEnd"/>
            <w:r w:rsidRPr="00192C67">
              <w:rPr>
                <w:sz w:val="22"/>
                <w:szCs w:val="22"/>
                <w:lang w:val="sr-Cyrl-BA"/>
              </w:rPr>
              <w:t xml:space="preserve"> друштво „ПРО ФИН“ </w:t>
            </w:r>
            <w:proofErr w:type="spellStart"/>
            <w:r w:rsidRPr="00192C67">
              <w:rPr>
                <w:sz w:val="22"/>
                <w:szCs w:val="22"/>
                <w:lang w:val="sr-Cyrl-BA"/>
              </w:rPr>
              <w:t>д.о.о</w:t>
            </w:r>
            <w:proofErr w:type="spellEnd"/>
            <w:r w:rsidRPr="00192C67">
              <w:rPr>
                <w:sz w:val="22"/>
                <w:szCs w:val="22"/>
                <w:lang w:val="sr-Cyrl-BA"/>
              </w:rPr>
              <w:t>. Источно Сарајево</w:t>
            </w:r>
          </w:p>
        </w:tc>
        <w:tc>
          <w:tcPr>
            <w:tcW w:w="2127" w:type="dxa"/>
            <w:gridSpan w:val="3"/>
            <w:shd w:val="clear" w:color="auto" w:fill="auto"/>
            <w:vAlign w:val="center"/>
          </w:tcPr>
          <w:p w14:paraId="2B7C6129"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7 (обвезнице)</w:t>
            </w:r>
          </w:p>
        </w:tc>
        <w:tc>
          <w:tcPr>
            <w:tcW w:w="1559" w:type="dxa"/>
            <w:gridSpan w:val="2"/>
            <w:shd w:val="clear" w:color="auto" w:fill="auto"/>
            <w:vAlign w:val="center"/>
          </w:tcPr>
          <w:p w14:paraId="5DA83D88"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c>
          <w:tcPr>
            <w:tcW w:w="1417" w:type="dxa"/>
            <w:shd w:val="clear" w:color="auto" w:fill="auto"/>
            <w:vAlign w:val="center"/>
          </w:tcPr>
          <w:p w14:paraId="1A4D69DE"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r>
      <w:tr w:rsidR="0091431E" w:rsidRPr="00192C67" w14:paraId="1B9CD103" w14:textId="77777777" w:rsidTr="0091431E">
        <w:trPr>
          <w:trHeight w:val="264"/>
        </w:trPr>
        <w:tc>
          <w:tcPr>
            <w:tcW w:w="610" w:type="dxa"/>
            <w:shd w:val="clear" w:color="auto" w:fill="auto"/>
            <w:noWrap/>
            <w:vAlign w:val="center"/>
          </w:tcPr>
          <w:p w14:paraId="743CCB23"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14.</w:t>
            </w:r>
          </w:p>
        </w:tc>
        <w:tc>
          <w:tcPr>
            <w:tcW w:w="3260" w:type="dxa"/>
            <w:gridSpan w:val="2"/>
            <w:shd w:val="clear" w:color="auto" w:fill="auto"/>
            <w:vAlign w:val="center"/>
          </w:tcPr>
          <w:p w14:paraId="5B49E809" w14:textId="77777777" w:rsidR="0091431E" w:rsidRPr="00192C67" w:rsidRDefault="0091431E" w:rsidP="009F2A58">
            <w:pPr>
              <w:spacing w:before="0" w:after="60" w:line="240" w:lineRule="auto"/>
              <w:ind w:firstLine="0"/>
              <w:jc w:val="left"/>
              <w:outlineLvl w:val="1"/>
              <w:rPr>
                <w:sz w:val="22"/>
                <w:szCs w:val="22"/>
                <w:lang w:val="sr-Cyrl-BA"/>
              </w:rPr>
            </w:pPr>
            <w:proofErr w:type="spellStart"/>
            <w:r w:rsidRPr="00192C67">
              <w:rPr>
                <w:sz w:val="22"/>
                <w:szCs w:val="22"/>
                <w:lang w:val="sr-Cyrl-BA"/>
              </w:rPr>
              <w:t>Микрокредитно</w:t>
            </w:r>
            <w:proofErr w:type="spellEnd"/>
            <w:r w:rsidRPr="00192C67">
              <w:rPr>
                <w:sz w:val="22"/>
                <w:szCs w:val="22"/>
                <w:lang w:val="sr-Cyrl-BA"/>
              </w:rPr>
              <w:t xml:space="preserve"> друштво „ТАУРУС“ </w:t>
            </w:r>
            <w:proofErr w:type="spellStart"/>
            <w:r w:rsidRPr="00192C67">
              <w:rPr>
                <w:sz w:val="22"/>
                <w:szCs w:val="22"/>
                <w:lang w:val="sr-Cyrl-BA"/>
              </w:rPr>
              <w:t>д.о.о</w:t>
            </w:r>
            <w:proofErr w:type="spellEnd"/>
            <w:r w:rsidRPr="00192C67">
              <w:rPr>
                <w:sz w:val="22"/>
                <w:szCs w:val="22"/>
                <w:lang w:val="sr-Cyrl-BA"/>
              </w:rPr>
              <w:t>. Бања Лука</w:t>
            </w:r>
          </w:p>
        </w:tc>
        <w:tc>
          <w:tcPr>
            <w:tcW w:w="2127" w:type="dxa"/>
            <w:gridSpan w:val="3"/>
            <w:shd w:val="clear" w:color="auto" w:fill="auto"/>
            <w:vAlign w:val="center"/>
          </w:tcPr>
          <w:p w14:paraId="3D5797E2"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5 (обвезнице)</w:t>
            </w:r>
          </w:p>
        </w:tc>
        <w:tc>
          <w:tcPr>
            <w:tcW w:w="1559" w:type="dxa"/>
            <w:gridSpan w:val="2"/>
            <w:shd w:val="clear" w:color="auto" w:fill="auto"/>
            <w:vAlign w:val="center"/>
          </w:tcPr>
          <w:p w14:paraId="646A812E"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c>
          <w:tcPr>
            <w:tcW w:w="1417" w:type="dxa"/>
            <w:shd w:val="clear" w:color="auto" w:fill="auto"/>
            <w:vAlign w:val="center"/>
          </w:tcPr>
          <w:p w14:paraId="64EAB7DF"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2.000.000</w:t>
            </w:r>
          </w:p>
        </w:tc>
      </w:tr>
      <w:tr w:rsidR="0091431E" w:rsidRPr="00192C67" w14:paraId="37D4C7E9" w14:textId="77777777" w:rsidTr="0091431E">
        <w:trPr>
          <w:trHeight w:val="264"/>
        </w:trPr>
        <w:tc>
          <w:tcPr>
            <w:tcW w:w="610" w:type="dxa"/>
            <w:shd w:val="clear" w:color="auto" w:fill="auto"/>
            <w:noWrap/>
            <w:vAlign w:val="center"/>
          </w:tcPr>
          <w:p w14:paraId="6A0B2240"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15.</w:t>
            </w:r>
          </w:p>
        </w:tc>
        <w:tc>
          <w:tcPr>
            <w:tcW w:w="3260" w:type="dxa"/>
            <w:gridSpan w:val="2"/>
            <w:shd w:val="clear" w:color="auto" w:fill="auto"/>
            <w:vAlign w:val="center"/>
          </w:tcPr>
          <w:p w14:paraId="482DDA00"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 xml:space="preserve">„НАША БАНКА“ </w:t>
            </w:r>
            <w:proofErr w:type="spellStart"/>
            <w:r w:rsidRPr="00192C67">
              <w:rPr>
                <w:sz w:val="22"/>
                <w:szCs w:val="22"/>
                <w:lang w:val="sr-Cyrl-BA"/>
              </w:rPr>
              <w:t>a.д</w:t>
            </w:r>
            <w:proofErr w:type="spellEnd"/>
            <w:r w:rsidRPr="00192C67">
              <w:rPr>
                <w:sz w:val="22"/>
                <w:szCs w:val="22"/>
                <w:lang w:val="sr-Cyrl-BA"/>
              </w:rPr>
              <w:t>. Бања Лука</w:t>
            </w:r>
          </w:p>
        </w:tc>
        <w:tc>
          <w:tcPr>
            <w:tcW w:w="2127" w:type="dxa"/>
            <w:gridSpan w:val="3"/>
            <w:shd w:val="clear" w:color="auto" w:fill="auto"/>
            <w:vAlign w:val="center"/>
          </w:tcPr>
          <w:p w14:paraId="2211094B"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 (обвезнице)</w:t>
            </w:r>
          </w:p>
        </w:tc>
        <w:tc>
          <w:tcPr>
            <w:tcW w:w="1559" w:type="dxa"/>
            <w:gridSpan w:val="2"/>
            <w:shd w:val="clear" w:color="auto" w:fill="auto"/>
            <w:vAlign w:val="center"/>
          </w:tcPr>
          <w:p w14:paraId="029E4D2E"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7.000.000</w:t>
            </w:r>
          </w:p>
        </w:tc>
        <w:tc>
          <w:tcPr>
            <w:tcW w:w="1417" w:type="dxa"/>
            <w:shd w:val="clear" w:color="auto" w:fill="auto"/>
            <w:vAlign w:val="center"/>
          </w:tcPr>
          <w:p w14:paraId="0E038367"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4.227.000</w:t>
            </w:r>
          </w:p>
        </w:tc>
      </w:tr>
      <w:tr w:rsidR="0091431E" w:rsidRPr="00192C67" w14:paraId="32F992DD" w14:textId="77777777" w:rsidTr="0091431E">
        <w:trPr>
          <w:trHeight w:val="264"/>
        </w:trPr>
        <w:tc>
          <w:tcPr>
            <w:tcW w:w="610" w:type="dxa"/>
            <w:shd w:val="clear" w:color="auto" w:fill="auto"/>
            <w:noWrap/>
            <w:vAlign w:val="center"/>
          </w:tcPr>
          <w:p w14:paraId="7905F6AE" w14:textId="77777777" w:rsidR="0091431E" w:rsidRPr="00192C67" w:rsidRDefault="0091431E" w:rsidP="009F2A58">
            <w:pPr>
              <w:spacing w:before="0" w:after="60" w:line="240" w:lineRule="auto"/>
              <w:ind w:firstLine="0"/>
              <w:jc w:val="center"/>
              <w:rPr>
                <w:bCs/>
                <w:sz w:val="22"/>
                <w:szCs w:val="22"/>
                <w:lang w:val="sr-Cyrl-BA" w:eastAsia="bs-Latn-BA"/>
              </w:rPr>
            </w:pPr>
            <w:r w:rsidRPr="00192C67">
              <w:rPr>
                <w:bCs/>
                <w:sz w:val="22"/>
                <w:szCs w:val="22"/>
                <w:lang w:val="sr-Cyrl-BA" w:eastAsia="bs-Latn-BA"/>
              </w:rPr>
              <w:t>16.</w:t>
            </w:r>
          </w:p>
        </w:tc>
        <w:tc>
          <w:tcPr>
            <w:tcW w:w="3260" w:type="dxa"/>
            <w:gridSpan w:val="2"/>
            <w:shd w:val="clear" w:color="auto" w:fill="auto"/>
            <w:vAlign w:val="center"/>
          </w:tcPr>
          <w:p w14:paraId="74D56486" w14:textId="77777777" w:rsidR="0091431E" w:rsidRPr="00192C67" w:rsidRDefault="0091431E" w:rsidP="009F2A58">
            <w:pPr>
              <w:spacing w:before="0" w:after="60" w:line="240" w:lineRule="auto"/>
              <w:ind w:firstLine="0"/>
              <w:jc w:val="left"/>
              <w:outlineLvl w:val="1"/>
              <w:rPr>
                <w:sz w:val="22"/>
                <w:szCs w:val="22"/>
              </w:rPr>
            </w:pPr>
            <w:proofErr w:type="spellStart"/>
            <w:r w:rsidRPr="00192C67">
              <w:rPr>
                <w:sz w:val="22"/>
                <w:szCs w:val="22"/>
                <w:lang w:val="sr-Cyrl-BA"/>
              </w:rPr>
              <w:t>Микрокредитно</w:t>
            </w:r>
            <w:proofErr w:type="spellEnd"/>
            <w:r w:rsidRPr="00192C67">
              <w:rPr>
                <w:sz w:val="22"/>
                <w:szCs w:val="22"/>
                <w:lang w:val="sr-Cyrl-BA"/>
              </w:rPr>
              <w:t xml:space="preserve"> друштво „ПРО ФИН“ </w:t>
            </w:r>
            <w:proofErr w:type="spellStart"/>
            <w:r w:rsidRPr="00192C67">
              <w:rPr>
                <w:sz w:val="22"/>
                <w:szCs w:val="22"/>
                <w:lang w:val="sr-Cyrl-BA"/>
              </w:rPr>
              <w:t>д.о.о</w:t>
            </w:r>
            <w:proofErr w:type="spellEnd"/>
            <w:r w:rsidRPr="00192C67">
              <w:rPr>
                <w:sz w:val="22"/>
                <w:szCs w:val="22"/>
                <w:lang w:val="sr-Cyrl-BA"/>
              </w:rPr>
              <w:t>. Источно Сарајево</w:t>
            </w:r>
          </w:p>
        </w:tc>
        <w:tc>
          <w:tcPr>
            <w:tcW w:w="2127" w:type="dxa"/>
            <w:gridSpan w:val="3"/>
            <w:shd w:val="clear" w:color="auto" w:fill="auto"/>
            <w:vAlign w:val="center"/>
          </w:tcPr>
          <w:p w14:paraId="397E5780"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8 (обвезнице)</w:t>
            </w:r>
          </w:p>
        </w:tc>
        <w:tc>
          <w:tcPr>
            <w:tcW w:w="1559" w:type="dxa"/>
            <w:gridSpan w:val="2"/>
            <w:shd w:val="clear" w:color="auto" w:fill="auto"/>
            <w:vAlign w:val="center"/>
          </w:tcPr>
          <w:p w14:paraId="3EEF95DA"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1.650.000</w:t>
            </w:r>
          </w:p>
        </w:tc>
        <w:tc>
          <w:tcPr>
            <w:tcW w:w="1417" w:type="dxa"/>
            <w:shd w:val="clear" w:color="auto" w:fill="auto"/>
            <w:vAlign w:val="center"/>
          </w:tcPr>
          <w:p w14:paraId="0854A98F" w14:textId="77777777" w:rsidR="0091431E" w:rsidRPr="00192C67" w:rsidRDefault="0091431E" w:rsidP="009F2A58">
            <w:pPr>
              <w:spacing w:before="0" w:after="60" w:line="240" w:lineRule="auto"/>
              <w:ind w:firstLine="0"/>
              <w:jc w:val="right"/>
              <w:rPr>
                <w:sz w:val="22"/>
                <w:szCs w:val="22"/>
                <w:lang w:val="sr-Cyrl-BA"/>
              </w:rPr>
            </w:pPr>
            <w:r w:rsidRPr="00192C67">
              <w:rPr>
                <w:sz w:val="22"/>
                <w:szCs w:val="22"/>
                <w:lang w:val="sr-Cyrl-BA"/>
              </w:rPr>
              <w:t>1.650.000</w:t>
            </w:r>
          </w:p>
        </w:tc>
      </w:tr>
      <w:tr w:rsidR="0091431E" w:rsidRPr="00192C67" w14:paraId="01F93B4F" w14:textId="77777777" w:rsidTr="0091431E">
        <w:trPr>
          <w:trHeight w:val="264"/>
        </w:trPr>
        <w:tc>
          <w:tcPr>
            <w:tcW w:w="8973" w:type="dxa"/>
            <w:gridSpan w:val="9"/>
            <w:shd w:val="clear" w:color="auto" w:fill="C6D9F1" w:themeFill="text2" w:themeFillTint="33"/>
            <w:noWrap/>
            <w:vAlign w:val="center"/>
            <w:hideMark/>
          </w:tcPr>
          <w:p w14:paraId="2B83FFCE"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lastRenderedPageBreak/>
              <w:t>ЕМИСИЈЕ БЕЗ ОБАВЕЗЕ ОБЈАВЉИВАЊА ПРОСПЕКТА</w:t>
            </w:r>
          </w:p>
        </w:tc>
      </w:tr>
      <w:tr w:rsidR="0091431E" w:rsidRPr="00192C67" w14:paraId="2B8C8FF1" w14:textId="77777777" w:rsidTr="0091431E">
        <w:trPr>
          <w:trHeight w:val="191"/>
        </w:trPr>
        <w:tc>
          <w:tcPr>
            <w:tcW w:w="8973" w:type="dxa"/>
            <w:gridSpan w:val="9"/>
            <w:shd w:val="clear" w:color="auto" w:fill="DBE5F1" w:themeFill="accent1" w:themeFillTint="33"/>
            <w:noWrap/>
            <w:vAlign w:val="bottom"/>
          </w:tcPr>
          <w:p w14:paraId="51650563" w14:textId="77777777" w:rsidR="0091431E" w:rsidRPr="00192C67" w:rsidRDefault="0091431E" w:rsidP="009F2A58">
            <w:pPr>
              <w:spacing w:before="0" w:after="60" w:line="240" w:lineRule="auto"/>
              <w:ind w:firstLine="0"/>
              <w:jc w:val="center"/>
              <w:rPr>
                <w:b/>
                <w:bCs/>
                <w:sz w:val="22"/>
                <w:szCs w:val="22"/>
                <w:lang w:eastAsia="bs-Latn-BA"/>
              </w:rPr>
            </w:pPr>
            <w:r w:rsidRPr="00192C67">
              <w:rPr>
                <w:b/>
                <w:bCs/>
                <w:sz w:val="22"/>
                <w:szCs w:val="22"/>
                <w:lang w:val="sr-Cyrl-BA" w:eastAsia="bs-Latn-BA"/>
              </w:rPr>
              <w:t>Понуда за квалификоване инвеститоре</w:t>
            </w:r>
          </w:p>
        </w:tc>
      </w:tr>
      <w:tr w:rsidR="0091431E" w:rsidRPr="00192C67" w14:paraId="193AD7D8" w14:textId="77777777" w:rsidTr="0091431E">
        <w:trPr>
          <w:trHeight w:val="107"/>
        </w:trPr>
        <w:tc>
          <w:tcPr>
            <w:tcW w:w="610" w:type="dxa"/>
            <w:shd w:val="clear" w:color="000000" w:fill="FFFFFF"/>
            <w:vAlign w:val="center"/>
          </w:tcPr>
          <w:p w14:paraId="4A7AED63"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Cyrl-BA" w:eastAsia="bs-Latn-BA"/>
              </w:rPr>
              <w:t>17</w:t>
            </w:r>
            <w:r w:rsidRPr="00192C67">
              <w:rPr>
                <w:bCs/>
                <w:sz w:val="22"/>
                <w:szCs w:val="22"/>
                <w:lang w:val="sr-Latn-BA" w:eastAsia="bs-Latn-BA"/>
              </w:rPr>
              <w:t>.</w:t>
            </w:r>
          </w:p>
        </w:tc>
        <w:tc>
          <w:tcPr>
            <w:tcW w:w="3260" w:type="dxa"/>
            <w:gridSpan w:val="2"/>
            <w:shd w:val="clear" w:color="auto" w:fill="auto"/>
            <w:vAlign w:val="center"/>
          </w:tcPr>
          <w:p w14:paraId="68F1CAD3"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w:t>
            </w:r>
            <w:r w:rsidRPr="00192C67">
              <w:rPr>
                <w:sz w:val="22"/>
                <w:szCs w:val="22"/>
              </w:rPr>
              <w:t>Premium finance</w:t>
            </w:r>
            <w:r w:rsidRPr="00192C67">
              <w:rPr>
                <w:sz w:val="22"/>
                <w:szCs w:val="22"/>
                <w:lang w:val="sr-Cyrl-BA"/>
              </w:rPr>
              <w:t xml:space="preserve">“ </w:t>
            </w:r>
            <w:proofErr w:type="spellStart"/>
            <w:r w:rsidRPr="00192C67">
              <w:rPr>
                <w:sz w:val="22"/>
                <w:szCs w:val="22"/>
                <w:lang w:val="sr-Cyrl-BA"/>
              </w:rPr>
              <w:t>а.д</w:t>
            </w:r>
            <w:proofErr w:type="spellEnd"/>
            <w:r w:rsidRPr="00192C67">
              <w:rPr>
                <w:sz w:val="22"/>
                <w:szCs w:val="22"/>
                <w:lang w:val="sr-Cyrl-BA"/>
              </w:rPr>
              <w:t>. Бања Лука</w:t>
            </w:r>
          </w:p>
        </w:tc>
        <w:tc>
          <w:tcPr>
            <w:tcW w:w="2127" w:type="dxa"/>
            <w:gridSpan w:val="3"/>
            <w:shd w:val="clear" w:color="auto" w:fill="auto"/>
            <w:vAlign w:val="center"/>
          </w:tcPr>
          <w:p w14:paraId="1EFEF505"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2 (акције)</w:t>
            </w:r>
          </w:p>
        </w:tc>
        <w:tc>
          <w:tcPr>
            <w:tcW w:w="1559" w:type="dxa"/>
            <w:gridSpan w:val="2"/>
            <w:shd w:val="clear" w:color="000000" w:fill="FFFFFF"/>
            <w:vAlign w:val="center"/>
          </w:tcPr>
          <w:p w14:paraId="360A77AA" w14:textId="77777777" w:rsidR="0091431E" w:rsidRPr="00192C67" w:rsidRDefault="0091431E" w:rsidP="009F2A58">
            <w:pPr>
              <w:spacing w:before="0" w:after="60" w:line="240" w:lineRule="auto"/>
              <w:ind w:firstLine="0"/>
              <w:jc w:val="right"/>
              <w:outlineLvl w:val="1"/>
              <w:rPr>
                <w:sz w:val="22"/>
                <w:szCs w:val="22"/>
              </w:rPr>
            </w:pPr>
            <w:r w:rsidRPr="00192C67">
              <w:rPr>
                <w:sz w:val="22"/>
                <w:szCs w:val="22"/>
                <w:lang w:val="sr-Cyrl-BA"/>
              </w:rPr>
              <w:t>320</w:t>
            </w:r>
            <w:r w:rsidRPr="00192C67">
              <w:rPr>
                <w:sz w:val="22"/>
                <w:szCs w:val="22"/>
              </w:rPr>
              <w:t>.000</w:t>
            </w:r>
          </w:p>
        </w:tc>
        <w:tc>
          <w:tcPr>
            <w:tcW w:w="1417" w:type="dxa"/>
            <w:shd w:val="clear" w:color="000000" w:fill="FFFFFF"/>
            <w:vAlign w:val="center"/>
          </w:tcPr>
          <w:p w14:paraId="4A9D8D19" w14:textId="77777777" w:rsidR="0091431E" w:rsidRPr="00192C67" w:rsidRDefault="0091431E" w:rsidP="009F2A58">
            <w:pPr>
              <w:spacing w:before="0" w:after="60" w:line="240" w:lineRule="auto"/>
              <w:ind w:firstLine="0"/>
              <w:jc w:val="right"/>
              <w:rPr>
                <w:bCs/>
                <w:sz w:val="22"/>
                <w:szCs w:val="22"/>
                <w:lang w:val="sr-Cyrl-BA"/>
              </w:rPr>
            </w:pPr>
            <w:r w:rsidRPr="00192C67">
              <w:rPr>
                <w:sz w:val="22"/>
                <w:szCs w:val="22"/>
                <w:lang w:val="sr-Cyrl-BA"/>
              </w:rPr>
              <w:t>320</w:t>
            </w:r>
            <w:r w:rsidRPr="00192C67">
              <w:rPr>
                <w:sz w:val="22"/>
                <w:szCs w:val="22"/>
              </w:rPr>
              <w:t>.000</w:t>
            </w:r>
          </w:p>
        </w:tc>
      </w:tr>
      <w:tr w:rsidR="0091431E" w:rsidRPr="00192C67" w14:paraId="54CD4888" w14:textId="77777777" w:rsidTr="0091431E">
        <w:trPr>
          <w:trHeight w:val="191"/>
        </w:trPr>
        <w:tc>
          <w:tcPr>
            <w:tcW w:w="8973" w:type="dxa"/>
            <w:gridSpan w:val="9"/>
            <w:shd w:val="clear" w:color="auto" w:fill="DBE5F1" w:themeFill="accent1" w:themeFillTint="33"/>
            <w:noWrap/>
            <w:vAlign w:val="bottom"/>
            <w:hideMark/>
          </w:tcPr>
          <w:p w14:paraId="01773232"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Претварање резерви и нераспоређене добити у основни капитал</w:t>
            </w:r>
          </w:p>
        </w:tc>
      </w:tr>
      <w:tr w:rsidR="0091431E" w:rsidRPr="00192C67" w14:paraId="76FF8B54" w14:textId="77777777" w:rsidTr="0091431E">
        <w:trPr>
          <w:trHeight w:val="107"/>
        </w:trPr>
        <w:tc>
          <w:tcPr>
            <w:tcW w:w="610" w:type="dxa"/>
            <w:shd w:val="clear" w:color="000000" w:fill="FFFFFF"/>
            <w:vAlign w:val="center"/>
          </w:tcPr>
          <w:p w14:paraId="6264753A"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Latn-BA" w:eastAsia="bs-Latn-BA"/>
              </w:rPr>
              <w:t>1</w:t>
            </w:r>
            <w:r w:rsidRPr="00192C67">
              <w:rPr>
                <w:bCs/>
                <w:sz w:val="22"/>
                <w:szCs w:val="22"/>
                <w:lang w:val="sr-Cyrl-BA" w:eastAsia="bs-Latn-BA"/>
              </w:rPr>
              <w:t>8</w:t>
            </w:r>
            <w:r w:rsidRPr="00192C67">
              <w:rPr>
                <w:bCs/>
                <w:sz w:val="22"/>
                <w:szCs w:val="22"/>
                <w:lang w:val="sr-Latn-BA" w:eastAsia="bs-Latn-BA"/>
              </w:rPr>
              <w:t>.</w:t>
            </w:r>
          </w:p>
        </w:tc>
        <w:tc>
          <w:tcPr>
            <w:tcW w:w="3260" w:type="dxa"/>
            <w:gridSpan w:val="2"/>
            <w:shd w:val="clear" w:color="auto" w:fill="auto"/>
            <w:vAlign w:val="center"/>
          </w:tcPr>
          <w:p w14:paraId="42F225FC"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Акционарско друштво за осигурање „Осигурање Аура“ Бања Лука</w:t>
            </w:r>
          </w:p>
        </w:tc>
        <w:tc>
          <w:tcPr>
            <w:tcW w:w="2127" w:type="dxa"/>
            <w:gridSpan w:val="3"/>
            <w:shd w:val="clear" w:color="auto" w:fill="auto"/>
            <w:vAlign w:val="center"/>
          </w:tcPr>
          <w:p w14:paraId="5EA80E4F"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5 (акције)</w:t>
            </w:r>
          </w:p>
        </w:tc>
        <w:tc>
          <w:tcPr>
            <w:tcW w:w="1559" w:type="dxa"/>
            <w:gridSpan w:val="2"/>
            <w:shd w:val="clear" w:color="000000" w:fill="FFFFFF"/>
            <w:vAlign w:val="center"/>
          </w:tcPr>
          <w:p w14:paraId="7039DDC3" w14:textId="77777777" w:rsidR="0091431E" w:rsidRPr="00192C67" w:rsidRDefault="0091431E" w:rsidP="009F2A58">
            <w:pPr>
              <w:spacing w:before="0" w:after="60" w:line="240" w:lineRule="auto"/>
              <w:ind w:firstLine="0"/>
              <w:jc w:val="right"/>
              <w:outlineLvl w:val="1"/>
              <w:rPr>
                <w:sz w:val="22"/>
                <w:szCs w:val="22"/>
                <w:lang w:val="sr-Cyrl-BA"/>
              </w:rPr>
            </w:pPr>
            <w:r w:rsidRPr="00192C67">
              <w:rPr>
                <w:sz w:val="22"/>
                <w:szCs w:val="22"/>
                <w:lang w:val="sr-Cyrl-BA"/>
              </w:rPr>
              <w:t>1.000.000</w:t>
            </w:r>
          </w:p>
        </w:tc>
        <w:tc>
          <w:tcPr>
            <w:tcW w:w="1417" w:type="dxa"/>
            <w:shd w:val="clear" w:color="000000" w:fill="FFFFFF"/>
            <w:vAlign w:val="center"/>
          </w:tcPr>
          <w:p w14:paraId="76FD85B6" w14:textId="77777777" w:rsidR="0091431E" w:rsidRPr="00192C67" w:rsidRDefault="0091431E" w:rsidP="009F2A58">
            <w:pPr>
              <w:spacing w:before="0" w:after="60" w:line="240" w:lineRule="auto"/>
              <w:ind w:firstLine="0"/>
              <w:jc w:val="right"/>
              <w:rPr>
                <w:bCs/>
                <w:sz w:val="22"/>
                <w:szCs w:val="22"/>
                <w:lang w:val="sr-Cyrl-BA"/>
              </w:rPr>
            </w:pPr>
            <w:r w:rsidRPr="00192C67">
              <w:rPr>
                <w:bCs/>
                <w:sz w:val="22"/>
                <w:szCs w:val="22"/>
                <w:lang w:val="sr-Cyrl-BA"/>
              </w:rPr>
              <w:t>-</w:t>
            </w:r>
          </w:p>
        </w:tc>
      </w:tr>
      <w:tr w:rsidR="0091431E" w:rsidRPr="00192C67" w14:paraId="2148D480" w14:textId="77777777" w:rsidTr="0091431E">
        <w:trPr>
          <w:trHeight w:val="107"/>
        </w:trPr>
        <w:tc>
          <w:tcPr>
            <w:tcW w:w="610" w:type="dxa"/>
            <w:shd w:val="clear" w:color="000000" w:fill="FFFFFF"/>
            <w:vAlign w:val="center"/>
          </w:tcPr>
          <w:p w14:paraId="44910B3A" w14:textId="77777777" w:rsidR="0091431E" w:rsidRPr="00192C67" w:rsidRDefault="0091431E" w:rsidP="009F2A58">
            <w:pPr>
              <w:spacing w:before="0" w:after="60" w:line="240" w:lineRule="auto"/>
              <w:ind w:firstLine="0"/>
              <w:jc w:val="center"/>
              <w:rPr>
                <w:bCs/>
                <w:sz w:val="22"/>
                <w:szCs w:val="22"/>
                <w:lang w:val="sr-Latn-BA" w:eastAsia="bs-Latn-BA"/>
              </w:rPr>
            </w:pPr>
            <w:r w:rsidRPr="00192C67">
              <w:rPr>
                <w:bCs/>
                <w:sz w:val="22"/>
                <w:szCs w:val="22"/>
                <w:lang w:val="sr-Cyrl-BA" w:eastAsia="bs-Latn-BA"/>
              </w:rPr>
              <w:t>19</w:t>
            </w:r>
            <w:r w:rsidRPr="00192C67">
              <w:rPr>
                <w:bCs/>
                <w:sz w:val="22"/>
                <w:szCs w:val="22"/>
                <w:lang w:val="sr-Latn-BA" w:eastAsia="bs-Latn-BA"/>
              </w:rPr>
              <w:t>.</w:t>
            </w:r>
          </w:p>
        </w:tc>
        <w:tc>
          <w:tcPr>
            <w:tcW w:w="3260" w:type="dxa"/>
            <w:gridSpan w:val="2"/>
            <w:shd w:val="clear" w:color="auto" w:fill="auto"/>
            <w:vAlign w:val="center"/>
          </w:tcPr>
          <w:p w14:paraId="0B6897B3" w14:textId="77777777" w:rsidR="0091431E" w:rsidRPr="00192C67" w:rsidRDefault="0091431E" w:rsidP="009F2A58">
            <w:pPr>
              <w:spacing w:before="0" w:after="60" w:line="240" w:lineRule="auto"/>
              <w:ind w:firstLine="0"/>
              <w:jc w:val="left"/>
              <w:outlineLvl w:val="1"/>
              <w:rPr>
                <w:sz w:val="22"/>
                <w:szCs w:val="22"/>
                <w:lang w:val="sr-Cyrl-BA"/>
              </w:rPr>
            </w:pPr>
            <w:r w:rsidRPr="00192C67">
              <w:rPr>
                <w:sz w:val="22"/>
                <w:szCs w:val="22"/>
                <w:lang w:val="sr-Cyrl-BA"/>
              </w:rPr>
              <w:t>Акционарско друштво за осигурање „Дрина осигурање“ Милићи</w:t>
            </w:r>
          </w:p>
          <w:p w14:paraId="46906985" w14:textId="77777777" w:rsidR="0091431E" w:rsidRPr="00192C67" w:rsidRDefault="0091431E" w:rsidP="009F2A58">
            <w:pPr>
              <w:spacing w:before="0" w:after="60" w:line="240" w:lineRule="auto"/>
              <w:ind w:firstLine="0"/>
              <w:jc w:val="left"/>
              <w:outlineLvl w:val="1"/>
              <w:rPr>
                <w:sz w:val="22"/>
                <w:szCs w:val="22"/>
                <w:lang w:val="sr-Cyrl-BA"/>
              </w:rPr>
            </w:pPr>
          </w:p>
        </w:tc>
        <w:tc>
          <w:tcPr>
            <w:tcW w:w="2127" w:type="dxa"/>
            <w:gridSpan w:val="3"/>
            <w:shd w:val="clear" w:color="auto" w:fill="auto"/>
            <w:vAlign w:val="center"/>
          </w:tcPr>
          <w:p w14:paraId="2D2CF5B3" w14:textId="77777777" w:rsidR="0091431E" w:rsidRPr="00192C67" w:rsidRDefault="0091431E" w:rsidP="009F2A58">
            <w:pPr>
              <w:spacing w:before="0" w:after="60" w:line="240" w:lineRule="auto"/>
              <w:ind w:firstLine="0"/>
              <w:jc w:val="center"/>
              <w:rPr>
                <w:sz w:val="22"/>
                <w:szCs w:val="22"/>
                <w:lang w:val="sr-Cyrl-BA"/>
              </w:rPr>
            </w:pPr>
            <w:r w:rsidRPr="00192C67">
              <w:rPr>
                <w:sz w:val="22"/>
                <w:szCs w:val="22"/>
                <w:lang w:val="sr-Cyrl-BA"/>
              </w:rPr>
              <w:t>11 (акције)</w:t>
            </w:r>
          </w:p>
        </w:tc>
        <w:tc>
          <w:tcPr>
            <w:tcW w:w="1559" w:type="dxa"/>
            <w:gridSpan w:val="2"/>
            <w:shd w:val="clear" w:color="000000" w:fill="FFFFFF"/>
            <w:vAlign w:val="center"/>
          </w:tcPr>
          <w:p w14:paraId="30DA9A76" w14:textId="77777777" w:rsidR="0091431E" w:rsidRPr="00192C67" w:rsidRDefault="0091431E" w:rsidP="009F2A58">
            <w:pPr>
              <w:spacing w:before="0" w:after="60" w:line="240" w:lineRule="auto"/>
              <w:ind w:firstLine="0"/>
              <w:jc w:val="right"/>
              <w:outlineLvl w:val="1"/>
              <w:rPr>
                <w:sz w:val="22"/>
                <w:szCs w:val="22"/>
                <w:lang w:val="sr-Cyrl-BA"/>
              </w:rPr>
            </w:pPr>
            <w:r w:rsidRPr="00192C67">
              <w:rPr>
                <w:sz w:val="22"/>
                <w:szCs w:val="22"/>
                <w:lang w:val="sr-Cyrl-BA"/>
              </w:rPr>
              <w:t>500.000</w:t>
            </w:r>
          </w:p>
        </w:tc>
        <w:tc>
          <w:tcPr>
            <w:tcW w:w="1417" w:type="dxa"/>
            <w:shd w:val="clear" w:color="000000" w:fill="FFFFFF"/>
            <w:vAlign w:val="center"/>
          </w:tcPr>
          <w:p w14:paraId="4D6470D1" w14:textId="77777777" w:rsidR="0091431E" w:rsidRPr="00192C67" w:rsidRDefault="0091431E" w:rsidP="009F2A58">
            <w:pPr>
              <w:spacing w:before="0" w:after="60" w:line="240" w:lineRule="auto"/>
              <w:ind w:firstLine="0"/>
              <w:jc w:val="right"/>
              <w:rPr>
                <w:bCs/>
                <w:sz w:val="22"/>
                <w:szCs w:val="22"/>
                <w:lang w:val="sr-Cyrl-BA"/>
              </w:rPr>
            </w:pPr>
            <w:r w:rsidRPr="00192C67">
              <w:rPr>
                <w:bCs/>
                <w:sz w:val="22"/>
                <w:szCs w:val="22"/>
                <w:lang w:val="sr-Cyrl-BA"/>
              </w:rPr>
              <w:t>-</w:t>
            </w:r>
          </w:p>
        </w:tc>
      </w:tr>
      <w:tr w:rsidR="0091431E" w:rsidRPr="00192C67" w14:paraId="44D6AE5F" w14:textId="77777777" w:rsidTr="0091431E">
        <w:trPr>
          <w:trHeight w:val="107"/>
        </w:trPr>
        <w:tc>
          <w:tcPr>
            <w:tcW w:w="8973" w:type="dxa"/>
            <w:gridSpan w:val="9"/>
            <w:shd w:val="clear" w:color="auto" w:fill="DBE5F1" w:themeFill="accent1" w:themeFillTint="33"/>
            <w:vAlign w:val="center"/>
          </w:tcPr>
          <w:p w14:paraId="020CEC6C"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Смањење капитала</w:t>
            </w:r>
          </w:p>
        </w:tc>
      </w:tr>
      <w:tr w:rsidR="0091431E" w:rsidRPr="00192C67" w14:paraId="5C949CE9" w14:textId="77777777" w:rsidTr="0091431E">
        <w:trPr>
          <w:trHeight w:val="524"/>
        </w:trPr>
        <w:tc>
          <w:tcPr>
            <w:tcW w:w="610" w:type="dxa"/>
            <w:vMerge w:val="restart"/>
            <w:shd w:val="clear" w:color="auto" w:fill="auto"/>
            <w:vAlign w:val="center"/>
            <w:hideMark/>
          </w:tcPr>
          <w:p w14:paraId="7AEC42C2" w14:textId="77777777" w:rsidR="0091431E" w:rsidRPr="00192C67" w:rsidRDefault="0091431E" w:rsidP="009F2A58">
            <w:pPr>
              <w:spacing w:before="0" w:after="60" w:line="240" w:lineRule="auto"/>
              <w:jc w:val="center"/>
              <w:rPr>
                <w:b/>
                <w:bCs/>
                <w:sz w:val="22"/>
                <w:szCs w:val="22"/>
                <w:lang w:val="sr-Cyrl-BA" w:eastAsia="bs-Latn-BA"/>
              </w:rPr>
            </w:pPr>
            <w:r w:rsidRPr="00192C67">
              <w:rPr>
                <w:sz w:val="22"/>
                <w:szCs w:val="22"/>
              </w:rPr>
              <w:br w:type="page"/>
            </w:r>
            <w:r w:rsidRPr="00192C67">
              <w:rPr>
                <w:b/>
                <w:bCs/>
                <w:sz w:val="22"/>
                <w:szCs w:val="22"/>
                <w:lang w:val="sr-Cyrl-BA" w:eastAsia="bs-Latn-BA"/>
              </w:rPr>
              <w:t>РР. бр.</w:t>
            </w:r>
          </w:p>
        </w:tc>
        <w:tc>
          <w:tcPr>
            <w:tcW w:w="2552" w:type="dxa"/>
            <w:vMerge w:val="restart"/>
            <w:shd w:val="clear" w:color="auto" w:fill="auto"/>
            <w:noWrap/>
            <w:vAlign w:val="center"/>
            <w:hideMark/>
          </w:tcPr>
          <w:p w14:paraId="54CA11EC" w14:textId="77777777" w:rsidR="0091431E" w:rsidRPr="00192C67" w:rsidRDefault="0091431E" w:rsidP="009F2A58">
            <w:pPr>
              <w:spacing w:before="0" w:after="60" w:line="240" w:lineRule="auto"/>
              <w:ind w:firstLine="0"/>
              <w:jc w:val="center"/>
              <w:rPr>
                <w:b/>
                <w:bCs/>
                <w:sz w:val="22"/>
                <w:szCs w:val="22"/>
                <w:lang w:val="sr-Cyrl-CS" w:eastAsia="bs-Latn-BA"/>
              </w:rPr>
            </w:pPr>
            <w:r w:rsidRPr="00192C67">
              <w:rPr>
                <w:b/>
                <w:bCs/>
                <w:sz w:val="22"/>
                <w:szCs w:val="22"/>
                <w:lang w:val="sr-Cyrl-CS" w:eastAsia="bs-Latn-BA"/>
              </w:rPr>
              <w:t>Назив емитента</w:t>
            </w:r>
          </w:p>
        </w:tc>
        <w:tc>
          <w:tcPr>
            <w:tcW w:w="1275" w:type="dxa"/>
            <w:gridSpan w:val="2"/>
            <w:vMerge w:val="restart"/>
            <w:shd w:val="clear" w:color="auto" w:fill="auto"/>
            <w:vAlign w:val="center"/>
            <w:hideMark/>
          </w:tcPr>
          <w:p w14:paraId="671E77E7"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Редни број емисије</w:t>
            </w:r>
          </w:p>
        </w:tc>
        <w:tc>
          <w:tcPr>
            <w:tcW w:w="1276" w:type="dxa"/>
            <w:vMerge w:val="restart"/>
            <w:shd w:val="clear" w:color="auto" w:fill="auto"/>
            <w:noWrap/>
            <w:vAlign w:val="center"/>
            <w:hideMark/>
          </w:tcPr>
          <w:p w14:paraId="16EACBB6"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Обим емисије</w:t>
            </w:r>
            <w:r w:rsidRPr="00192C67">
              <w:rPr>
                <w:b/>
                <w:bCs/>
                <w:sz w:val="22"/>
                <w:szCs w:val="22"/>
                <w:lang w:eastAsia="bs-Latn-BA"/>
              </w:rPr>
              <w:t xml:space="preserve"> </w:t>
            </w:r>
            <w:r w:rsidRPr="00192C67">
              <w:rPr>
                <w:b/>
                <w:bCs/>
                <w:sz w:val="22"/>
                <w:szCs w:val="22"/>
                <w:lang w:val="sr-Cyrl-BA" w:eastAsia="bs-Latn-BA"/>
              </w:rPr>
              <w:t>(у КМ)</w:t>
            </w:r>
          </w:p>
        </w:tc>
        <w:tc>
          <w:tcPr>
            <w:tcW w:w="1701" w:type="dxa"/>
            <w:gridSpan w:val="2"/>
            <w:vMerge w:val="restart"/>
            <w:shd w:val="clear" w:color="auto" w:fill="auto"/>
            <w:vAlign w:val="center"/>
            <w:hideMark/>
          </w:tcPr>
          <w:p w14:paraId="4895C315"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Основни капитал прије смањења         (у КМ)</w:t>
            </w:r>
          </w:p>
        </w:tc>
        <w:tc>
          <w:tcPr>
            <w:tcW w:w="1559" w:type="dxa"/>
            <w:gridSpan w:val="2"/>
            <w:vMerge w:val="restart"/>
            <w:shd w:val="clear" w:color="auto" w:fill="auto"/>
            <w:vAlign w:val="center"/>
            <w:hideMark/>
          </w:tcPr>
          <w:p w14:paraId="3469DEC9" w14:textId="77777777" w:rsidR="0091431E" w:rsidRPr="00192C67" w:rsidRDefault="0091431E" w:rsidP="009F2A58">
            <w:pPr>
              <w:spacing w:before="0" w:after="60" w:line="240" w:lineRule="auto"/>
              <w:ind w:firstLine="0"/>
              <w:jc w:val="center"/>
              <w:rPr>
                <w:b/>
                <w:bCs/>
                <w:sz w:val="22"/>
                <w:szCs w:val="22"/>
                <w:lang w:val="sr-Cyrl-BA" w:eastAsia="bs-Latn-BA"/>
              </w:rPr>
            </w:pPr>
            <w:r w:rsidRPr="00192C67">
              <w:rPr>
                <w:b/>
                <w:bCs/>
                <w:sz w:val="22"/>
                <w:szCs w:val="22"/>
                <w:lang w:val="sr-Cyrl-BA" w:eastAsia="bs-Latn-BA"/>
              </w:rPr>
              <w:t>Износ смањења капитала      (у КМ)</w:t>
            </w:r>
          </w:p>
        </w:tc>
      </w:tr>
      <w:tr w:rsidR="0091431E" w:rsidRPr="00192C67" w14:paraId="598F8973" w14:textId="77777777" w:rsidTr="0091431E">
        <w:trPr>
          <w:trHeight w:val="524"/>
        </w:trPr>
        <w:tc>
          <w:tcPr>
            <w:tcW w:w="610" w:type="dxa"/>
            <w:vMerge/>
            <w:vAlign w:val="center"/>
            <w:hideMark/>
          </w:tcPr>
          <w:p w14:paraId="4C5472F5" w14:textId="77777777" w:rsidR="0091431E" w:rsidRPr="00192C67" w:rsidRDefault="0091431E" w:rsidP="009F2A58">
            <w:pPr>
              <w:spacing w:before="0" w:after="60" w:line="240" w:lineRule="auto"/>
              <w:rPr>
                <w:bCs/>
                <w:sz w:val="22"/>
                <w:szCs w:val="22"/>
                <w:lang w:val="sr-Cyrl-BA" w:eastAsia="bs-Latn-BA"/>
              </w:rPr>
            </w:pPr>
          </w:p>
        </w:tc>
        <w:tc>
          <w:tcPr>
            <w:tcW w:w="2552" w:type="dxa"/>
            <w:vMerge/>
            <w:vAlign w:val="center"/>
            <w:hideMark/>
          </w:tcPr>
          <w:p w14:paraId="5ECAF273" w14:textId="77777777" w:rsidR="0091431E" w:rsidRPr="00192C67" w:rsidRDefault="0091431E" w:rsidP="009F2A58">
            <w:pPr>
              <w:spacing w:before="0" w:after="60" w:line="240" w:lineRule="auto"/>
              <w:rPr>
                <w:bCs/>
                <w:sz w:val="22"/>
                <w:szCs w:val="22"/>
                <w:lang w:val="sr-Cyrl-CS" w:eastAsia="bs-Latn-BA"/>
              </w:rPr>
            </w:pPr>
          </w:p>
        </w:tc>
        <w:tc>
          <w:tcPr>
            <w:tcW w:w="1275" w:type="dxa"/>
            <w:gridSpan w:val="2"/>
            <w:vMerge/>
            <w:vAlign w:val="center"/>
            <w:hideMark/>
          </w:tcPr>
          <w:p w14:paraId="2AC410A0" w14:textId="77777777" w:rsidR="0091431E" w:rsidRPr="00192C67" w:rsidRDefault="0091431E" w:rsidP="009F2A58">
            <w:pPr>
              <w:spacing w:before="0" w:after="60" w:line="240" w:lineRule="auto"/>
              <w:jc w:val="center"/>
              <w:rPr>
                <w:bCs/>
                <w:sz w:val="22"/>
                <w:szCs w:val="22"/>
                <w:lang w:val="sr-Cyrl-BA" w:eastAsia="bs-Latn-BA"/>
              </w:rPr>
            </w:pPr>
          </w:p>
        </w:tc>
        <w:tc>
          <w:tcPr>
            <w:tcW w:w="1276" w:type="dxa"/>
            <w:vMerge/>
            <w:vAlign w:val="center"/>
            <w:hideMark/>
          </w:tcPr>
          <w:p w14:paraId="3EBEA4B7" w14:textId="77777777" w:rsidR="0091431E" w:rsidRPr="00192C67" w:rsidRDefault="0091431E" w:rsidP="009F2A58">
            <w:pPr>
              <w:spacing w:before="0" w:after="60" w:line="240" w:lineRule="auto"/>
              <w:jc w:val="center"/>
              <w:rPr>
                <w:bCs/>
                <w:sz w:val="22"/>
                <w:szCs w:val="22"/>
                <w:lang w:val="sr-Cyrl-BA" w:eastAsia="bs-Latn-BA"/>
              </w:rPr>
            </w:pPr>
          </w:p>
        </w:tc>
        <w:tc>
          <w:tcPr>
            <w:tcW w:w="1701" w:type="dxa"/>
            <w:gridSpan w:val="2"/>
            <w:vMerge/>
            <w:vAlign w:val="center"/>
            <w:hideMark/>
          </w:tcPr>
          <w:p w14:paraId="32C1CB1C" w14:textId="77777777" w:rsidR="0091431E" w:rsidRPr="00192C67" w:rsidRDefault="0091431E" w:rsidP="009F2A58">
            <w:pPr>
              <w:spacing w:before="0" w:after="60" w:line="240" w:lineRule="auto"/>
              <w:rPr>
                <w:bCs/>
                <w:sz w:val="22"/>
                <w:szCs w:val="22"/>
                <w:lang w:val="sr-Cyrl-BA" w:eastAsia="bs-Latn-BA"/>
              </w:rPr>
            </w:pPr>
          </w:p>
        </w:tc>
        <w:tc>
          <w:tcPr>
            <w:tcW w:w="1559" w:type="dxa"/>
            <w:gridSpan w:val="2"/>
            <w:vMerge/>
            <w:vAlign w:val="center"/>
            <w:hideMark/>
          </w:tcPr>
          <w:p w14:paraId="4F99C7B7" w14:textId="77777777" w:rsidR="0091431E" w:rsidRPr="00192C67" w:rsidRDefault="0091431E" w:rsidP="009F2A58">
            <w:pPr>
              <w:spacing w:before="0" w:after="60" w:line="240" w:lineRule="auto"/>
              <w:rPr>
                <w:bCs/>
                <w:sz w:val="22"/>
                <w:szCs w:val="22"/>
                <w:lang w:val="sr-Cyrl-BA" w:eastAsia="bs-Latn-BA"/>
              </w:rPr>
            </w:pPr>
          </w:p>
        </w:tc>
      </w:tr>
      <w:tr w:rsidR="0091431E" w:rsidRPr="00192C67" w14:paraId="056DCA6A" w14:textId="77777777" w:rsidTr="0091431E">
        <w:trPr>
          <w:trHeight w:val="161"/>
        </w:trPr>
        <w:tc>
          <w:tcPr>
            <w:tcW w:w="610" w:type="dxa"/>
            <w:shd w:val="clear" w:color="auto" w:fill="auto"/>
            <w:noWrap/>
            <w:vAlign w:val="center"/>
            <w:hideMark/>
          </w:tcPr>
          <w:p w14:paraId="7298F60A" w14:textId="77777777" w:rsidR="0091431E" w:rsidRPr="00192C67" w:rsidRDefault="0091431E" w:rsidP="009F2A58">
            <w:pPr>
              <w:spacing w:before="0" w:after="60" w:line="240" w:lineRule="auto"/>
              <w:ind w:right="-300" w:hanging="236"/>
              <w:jc w:val="center"/>
              <w:rPr>
                <w:bCs/>
                <w:sz w:val="22"/>
                <w:szCs w:val="22"/>
                <w:lang w:val="sr-Cyrl-BA"/>
              </w:rPr>
            </w:pPr>
            <w:r w:rsidRPr="00192C67">
              <w:rPr>
                <w:bCs/>
                <w:sz w:val="22"/>
                <w:szCs w:val="22"/>
                <w:lang w:val="sr-Cyrl-BA"/>
              </w:rPr>
              <w:t>20.</w:t>
            </w:r>
          </w:p>
        </w:tc>
        <w:tc>
          <w:tcPr>
            <w:tcW w:w="2552" w:type="dxa"/>
            <w:shd w:val="clear" w:color="auto" w:fill="auto"/>
            <w:noWrap/>
            <w:vAlign w:val="center"/>
            <w:hideMark/>
          </w:tcPr>
          <w:p w14:paraId="7123C1BC" w14:textId="77777777" w:rsidR="0091431E" w:rsidRPr="00192C67" w:rsidRDefault="0091431E" w:rsidP="009F2A58">
            <w:pPr>
              <w:spacing w:before="0" w:after="0" w:line="240" w:lineRule="auto"/>
              <w:ind w:firstLine="0"/>
              <w:jc w:val="left"/>
              <w:outlineLvl w:val="1"/>
              <w:rPr>
                <w:sz w:val="22"/>
                <w:szCs w:val="22"/>
                <w:lang w:val="sr-Cyrl-CS"/>
              </w:rPr>
            </w:pPr>
            <w:r w:rsidRPr="00192C67">
              <w:rPr>
                <w:sz w:val="22"/>
                <w:szCs w:val="22"/>
                <w:lang w:val="sr-Cyrl-CS"/>
              </w:rPr>
              <w:t>„Крајина осигурање“ акционарско друштво Бања Лука</w:t>
            </w:r>
          </w:p>
        </w:tc>
        <w:tc>
          <w:tcPr>
            <w:tcW w:w="1275" w:type="dxa"/>
            <w:gridSpan w:val="2"/>
            <w:shd w:val="clear" w:color="auto" w:fill="auto"/>
            <w:noWrap/>
            <w:vAlign w:val="center"/>
            <w:hideMark/>
          </w:tcPr>
          <w:p w14:paraId="03CC3CEA" w14:textId="77777777" w:rsidR="0091431E" w:rsidRPr="00192C67" w:rsidRDefault="0091431E" w:rsidP="009F2A58">
            <w:pPr>
              <w:spacing w:before="0" w:after="60" w:line="240" w:lineRule="auto"/>
              <w:ind w:firstLine="0"/>
              <w:jc w:val="center"/>
              <w:outlineLvl w:val="1"/>
              <w:rPr>
                <w:sz w:val="22"/>
                <w:szCs w:val="22"/>
              </w:rPr>
            </w:pPr>
            <w:r w:rsidRPr="00192C67">
              <w:rPr>
                <w:sz w:val="22"/>
                <w:szCs w:val="22"/>
                <w:lang w:val="sr-Cyrl-BA"/>
              </w:rPr>
              <w:t>4</w:t>
            </w:r>
            <w:r w:rsidRPr="00192C67">
              <w:rPr>
                <w:sz w:val="22"/>
                <w:szCs w:val="22"/>
              </w:rPr>
              <w:t xml:space="preserve"> (</w:t>
            </w:r>
            <w:proofErr w:type="spellStart"/>
            <w:r w:rsidRPr="00192C67">
              <w:rPr>
                <w:sz w:val="22"/>
                <w:szCs w:val="22"/>
              </w:rPr>
              <w:t>акције</w:t>
            </w:r>
            <w:proofErr w:type="spellEnd"/>
            <w:r w:rsidRPr="00192C67">
              <w:rPr>
                <w:sz w:val="22"/>
                <w:szCs w:val="22"/>
              </w:rPr>
              <w:t>)</w:t>
            </w:r>
          </w:p>
        </w:tc>
        <w:tc>
          <w:tcPr>
            <w:tcW w:w="1276" w:type="dxa"/>
            <w:shd w:val="clear" w:color="auto" w:fill="auto"/>
            <w:noWrap/>
            <w:vAlign w:val="center"/>
          </w:tcPr>
          <w:p w14:paraId="4D499AF9"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8.730.000</w:t>
            </w:r>
          </w:p>
        </w:tc>
        <w:tc>
          <w:tcPr>
            <w:tcW w:w="1701" w:type="dxa"/>
            <w:gridSpan w:val="2"/>
            <w:shd w:val="clear" w:color="auto" w:fill="auto"/>
            <w:noWrap/>
            <w:vAlign w:val="center"/>
          </w:tcPr>
          <w:p w14:paraId="1BCB249E"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20.668.191</w:t>
            </w:r>
          </w:p>
        </w:tc>
        <w:tc>
          <w:tcPr>
            <w:tcW w:w="1559" w:type="dxa"/>
            <w:gridSpan w:val="2"/>
            <w:shd w:val="clear" w:color="000000" w:fill="FFFFFF"/>
            <w:noWrap/>
            <w:vAlign w:val="center"/>
          </w:tcPr>
          <w:p w14:paraId="5B4872ED"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11.938.191</w:t>
            </w:r>
          </w:p>
        </w:tc>
      </w:tr>
      <w:tr w:rsidR="0091431E" w:rsidRPr="00192C67" w14:paraId="41A9EE8E" w14:textId="77777777" w:rsidTr="0091431E">
        <w:trPr>
          <w:trHeight w:val="161"/>
        </w:trPr>
        <w:tc>
          <w:tcPr>
            <w:tcW w:w="610" w:type="dxa"/>
            <w:shd w:val="clear" w:color="auto" w:fill="auto"/>
            <w:noWrap/>
            <w:vAlign w:val="center"/>
          </w:tcPr>
          <w:p w14:paraId="5FFAEF97" w14:textId="77777777" w:rsidR="0091431E" w:rsidRPr="00192C67" w:rsidRDefault="0091431E" w:rsidP="009F2A58">
            <w:pPr>
              <w:spacing w:before="0" w:after="60" w:line="240" w:lineRule="auto"/>
              <w:ind w:right="-300" w:hanging="236"/>
              <w:jc w:val="center"/>
              <w:rPr>
                <w:bCs/>
                <w:sz w:val="22"/>
                <w:szCs w:val="22"/>
                <w:lang w:val="sr-Cyrl-BA"/>
              </w:rPr>
            </w:pPr>
            <w:r w:rsidRPr="00192C67">
              <w:rPr>
                <w:bCs/>
                <w:sz w:val="22"/>
                <w:szCs w:val="22"/>
                <w:lang w:val="sr-Cyrl-BA"/>
              </w:rPr>
              <w:t>21.</w:t>
            </w:r>
          </w:p>
        </w:tc>
        <w:tc>
          <w:tcPr>
            <w:tcW w:w="2552" w:type="dxa"/>
            <w:shd w:val="clear" w:color="auto" w:fill="auto"/>
            <w:noWrap/>
            <w:vAlign w:val="center"/>
          </w:tcPr>
          <w:p w14:paraId="38C65EB4" w14:textId="77777777" w:rsidR="0091431E" w:rsidRPr="00192C67" w:rsidRDefault="0091431E" w:rsidP="009F2A58">
            <w:pPr>
              <w:spacing w:before="0" w:after="0" w:line="240" w:lineRule="auto"/>
              <w:ind w:firstLine="0"/>
              <w:jc w:val="left"/>
              <w:outlineLvl w:val="1"/>
              <w:rPr>
                <w:sz w:val="22"/>
                <w:szCs w:val="22"/>
                <w:lang w:val="sr-Cyrl-CS"/>
              </w:rPr>
            </w:pPr>
            <w:r w:rsidRPr="00192C67">
              <w:rPr>
                <w:sz w:val="22"/>
                <w:szCs w:val="22"/>
                <w:lang w:val="sr-Cyrl-CS"/>
              </w:rPr>
              <w:t>„Атос банка“ а.д. Бања Лука</w:t>
            </w:r>
          </w:p>
        </w:tc>
        <w:tc>
          <w:tcPr>
            <w:tcW w:w="1275" w:type="dxa"/>
            <w:gridSpan w:val="2"/>
            <w:shd w:val="clear" w:color="auto" w:fill="auto"/>
            <w:noWrap/>
            <w:vAlign w:val="center"/>
          </w:tcPr>
          <w:p w14:paraId="2D2BF9FB"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10</w:t>
            </w:r>
            <w:r w:rsidRPr="00192C67">
              <w:rPr>
                <w:sz w:val="22"/>
                <w:szCs w:val="22"/>
              </w:rPr>
              <w:t xml:space="preserve"> (</w:t>
            </w:r>
            <w:proofErr w:type="spellStart"/>
            <w:r w:rsidRPr="00192C67">
              <w:rPr>
                <w:sz w:val="22"/>
                <w:szCs w:val="22"/>
              </w:rPr>
              <w:t>акције</w:t>
            </w:r>
            <w:proofErr w:type="spellEnd"/>
            <w:r w:rsidRPr="00192C67">
              <w:rPr>
                <w:sz w:val="22"/>
                <w:szCs w:val="22"/>
              </w:rPr>
              <w:t>)</w:t>
            </w:r>
          </w:p>
        </w:tc>
        <w:tc>
          <w:tcPr>
            <w:tcW w:w="1276" w:type="dxa"/>
            <w:shd w:val="clear" w:color="auto" w:fill="auto"/>
            <w:noWrap/>
            <w:vAlign w:val="center"/>
          </w:tcPr>
          <w:p w14:paraId="0B21DCD1"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61.974.000</w:t>
            </w:r>
          </w:p>
        </w:tc>
        <w:tc>
          <w:tcPr>
            <w:tcW w:w="1701" w:type="dxa"/>
            <w:gridSpan w:val="2"/>
            <w:shd w:val="clear" w:color="auto" w:fill="auto"/>
            <w:noWrap/>
            <w:vAlign w:val="center"/>
          </w:tcPr>
          <w:p w14:paraId="2D20EE1B"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62.198.000</w:t>
            </w:r>
          </w:p>
        </w:tc>
        <w:tc>
          <w:tcPr>
            <w:tcW w:w="1559" w:type="dxa"/>
            <w:gridSpan w:val="2"/>
            <w:shd w:val="clear" w:color="000000" w:fill="FFFFFF"/>
            <w:noWrap/>
            <w:vAlign w:val="center"/>
          </w:tcPr>
          <w:p w14:paraId="635B53C7" w14:textId="77777777" w:rsidR="0091431E" w:rsidRPr="00192C67" w:rsidRDefault="0091431E" w:rsidP="009F2A58">
            <w:pPr>
              <w:spacing w:before="0" w:after="60" w:line="240" w:lineRule="auto"/>
              <w:ind w:firstLine="0"/>
              <w:jc w:val="center"/>
              <w:outlineLvl w:val="1"/>
              <w:rPr>
                <w:sz w:val="22"/>
                <w:szCs w:val="22"/>
                <w:lang w:val="sr-Cyrl-BA"/>
              </w:rPr>
            </w:pPr>
            <w:r w:rsidRPr="00192C67">
              <w:rPr>
                <w:sz w:val="22"/>
                <w:szCs w:val="22"/>
                <w:lang w:val="sr-Cyrl-BA"/>
              </w:rPr>
              <w:t>224.000</w:t>
            </w:r>
          </w:p>
        </w:tc>
      </w:tr>
    </w:tbl>
    <w:bookmarkEnd w:id="43"/>
    <w:p w14:paraId="2CB41822" w14:textId="13D54A4D" w:rsidR="000A10DE" w:rsidRPr="006C0A13" w:rsidRDefault="007D4FC0" w:rsidP="006C0A13">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7</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Аналитички</w:t>
      </w:r>
      <w:r w:rsidRPr="00EC6422">
        <w:rPr>
          <w:rFonts w:ascii="Times New Roman" w:hAnsi="Times New Roman"/>
          <w:sz w:val="24"/>
          <w:szCs w:val="24"/>
          <w:lang w:val="sr-Cyrl-BA"/>
        </w:rPr>
        <w:t xml:space="preserve"> </w:t>
      </w:r>
      <w:proofErr w:type="spellStart"/>
      <w:r w:rsidRPr="00EC6422">
        <w:rPr>
          <w:rFonts w:ascii="Times New Roman" w:hAnsi="Times New Roman"/>
          <w:b w:val="0"/>
          <w:sz w:val="24"/>
          <w:szCs w:val="24"/>
          <w:lang w:val="sr-Cyrl-BA"/>
        </w:rPr>
        <w:t>преглед</w:t>
      </w:r>
      <w:proofErr w:type="spellEnd"/>
      <w:r w:rsidRPr="00EC6422">
        <w:rPr>
          <w:rFonts w:ascii="Times New Roman" w:hAnsi="Times New Roman"/>
          <w:b w:val="0"/>
          <w:sz w:val="24"/>
          <w:szCs w:val="24"/>
          <w:lang w:val="sr-Cyrl-BA"/>
        </w:rPr>
        <w:t xml:space="preserve"> појединачних емисија хартија од вриједности по врсти у </w:t>
      </w:r>
      <w:r w:rsidR="0091431E">
        <w:rPr>
          <w:rFonts w:ascii="Times New Roman" w:hAnsi="Times New Roman"/>
          <w:b w:val="0"/>
          <w:sz w:val="24"/>
          <w:szCs w:val="24"/>
          <w:lang w:val="sr-Cyrl-BA"/>
        </w:rPr>
        <w:t>2023</w:t>
      </w:r>
      <w:r w:rsidRPr="00EC6422">
        <w:rPr>
          <w:rFonts w:ascii="Times New Roman" w:hAnsi="Times New Roman"/>
          <w:b w:val="0"/>
          <w:sz w:val="24"/>
          <w:szCs w:val="24"/>
          <w:lang w:val="sr-Cyrl-BA"/>
        </w:rPr>
        <w:t>. години</w:t>
      </w:r>
      <w:r w:rsidR="00366869" w:rsidRPr="00EC6422">
        <w:rPr>
          <w:rFonts w:ascii="Times New Roman" w:hAnsi="Times New Roman"/>
          <w:b w:val="0"/>
          <w:sz w:val="24"/>
          <w:szCs w:val="24"/>
          <w:lang w:val="sr-Cyrl-BA"/>
        </w:rPr>
        <w:t xml:space="preserve"> (у КМ)</w:t>
      </w:r>
    </w:p>
    <w:p w14:paraId="2C89EE90"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44" w:name="_Toc194970096"/>
      <w:bookmarkStart w:id="45" w:name="_Toc194970128"/>
      <w:bookmarkStart w:id="46" w:name="_Toc195958360"/>
      <w:bookmarkStart w:id="47" w:name="_Toc321408893"/>
      <w:bookmarkStart w:id="48" w:name="_Toc167960426"/>
      <w:r w:rsidRPr="00EC6422">
        <w:rPr>
          <w:rFonts w:ascii="Times New Roman" w:hAnsi="Times New Roman"/>
          <w:caps w:val="0"/>
          <w:color w:val="002060"/>
          <w:lang w:val="sr-Cyrl-BA"/>
        </w:rPr>
        <w:t>ИЗВЈЕШТАВАЊЕ И ОБЈАВЉИВАЊE ИНФОРМАЦИЈА ОД СТРАНЕ ЕМИТЕНАТА ХАРТИЈА ОД ВРИЈЕДНОСТИ КОЈЕ СУ ПРЕДМЕТ ЈАВНЕ ПРОДАЈЕ</w:t>
      </w:r>
      <w:bookmarkEnd w:id="44"/>
      <w:bookmarkEnd w:id="45"/>
      <w:bookmarkEnd w:id="46"/>
      <w:bookmarkEnd w:id="47"/>
      <w:bookmarkEnd w:id="48"/>
    </w:p>
    <w:p w14:paraId="72FF6729" w14:textId="77777777" w:rsidR="006F19FB" w:rsidRPr="002228FB" w:rsidRDefault="006F19FB" w:rsidP="006F19FB">
      <w:pPr>
        <w:spacing w:after="0" w:line="240" w:lineRule="auto"/>
        <w:ind w:firstLine="567"/>
        <w:rPr>
          <w:rFonts w:eastAsia="Calibri"/>
          <w:lang w:val="sr-Latn-BA" w:eastAsia="sr-Latn-BA"/>
        </w:rPr>
      </w:pPr>
      <w:bookmarkStart w:id="49" w:name="_Toc194970097"/>
      <w:bookmarkStart w:id="50" w:name="_Toc194970129"/>
      <w:bookmarkStart w:id="51" w:name="_Toc195958361"/>
      <w:bookmarkStart w:id="52" w:name="_Toc321408894"/>
      <w:r w:rsidRPr="00294897">
        <w:rPr>
          <w:lang w:val="sr-Cyrl-BA"/>
        </w:rPr>
        <w:t xml:space="preserve">Правилником о извјештавању и објављивању информација од стране </w:t>
      </w:r>
      <w:proofErr w:type="spellStart"/>
      <w:r w:rsidRPr="00294897">
        <w:rPr>
          <w:lang w:val="sr-Cyrl-BA"/>
        </w:rPr>
        <w:t>емитената</w:t>
      </w:r>
      <w:proofErr w:type="spellEnd"/>
      <w:r w:rsidRPr="00294897">
        <w:rPr>
          <w:lang w:val="sr-Cyrl-BA"/>
        </w:rPr>
        <w:t xml:space="preserve"> хартија од вриједности </w:t>
      </w:r>
      <w:r>
        <w:rPr>
          <w:lang w:val="sr-Cyrl-BA"/>
        </w:rPr>
        <w:t>које су предмет јавне продаје</w:t>
      </w:r>
      <w:r>
        <w:rPr>
          <w:rStyle w:val="FootnoteReference"/>
          <w:lang w:val="sr-Cyrl-BA"/>
        </w:rPr>
        <w:footnoteReference w:id="3"/>
      </w:r>
      <w:r w:rsidRPr="00294897">
        <w:rPr>
          <w:lang w:val="sr-Cyrl-BA"/>
        </w:rPr>
        <w:t xml:space="preserve">, детаљно је регулисан начин извршавања обавеза акционарских друштава и </w:t>
      </w:r>
      <w:proofErr w:type="spellStart"/>
      <w:r w:rsidRPr="00294897">
        <w:rPr>
          <w:lang w:val="sr-Cyrl-BA"/>
        </w:rPr>
        <w:t>емитената</w:t>
      </w:r>
      <w:proofErr w:type="spellEnd"/>
      <w:r w:rsidRPr="00294897">
        <w:rPr>
          <w:lang w:val="sr-Cyrl-BA"/>
        </w:rPr>
        <w:t xml:space="preserve"> чије су хартије од вриједности предмет јавне понуде</w:t>
      </w:r>
      <w:r w:rsidRPr="002228FB">
        <w:rPr>
          <w:rFonts w:eastAsia="Calibri"/>
          <w:vertAlign w:val="superscript"/>
          <w:lang w:val="sr-Cyrl-BA"/>
        </w:rPr>
        <w:footnoteReference w:id="4"/>
      </w:r>
      <w:r w:rsidRPr="00294897">
        <w:rPr>
          <w:lang w:val="sr-Cyrl-BA"/>
        </w:rPr>
        <w:t>.</w:t>
      </w:r>
    </w:p>
    <w:p w14:paraId="6C36EA59" w14:textId="77777777" w:rsidR="003421E1" w:rsidRPr="00192C67" w:rsidRDefault="003421E1" w:rsidP="003421E1">
      <w:pPr>
        <w:spacing w:after="0" w:line="240" w:lineRule="auto"/>
        <w:ind w:firstLine="567"/>
        <w:rPr>
          <w:lang w:val="sr-Cyrl-BA"/>
        </w:rPr>
      </w:pPr>
      <w:proofErr w:type="spellStart"/>
      <w:r w:rsidRPr="00192C67">
        <w:rPr>
          <w:lang w:val="sr-Cyrl-BA"/>
        </w:rPr>
        <w:t>Емитенти</w:t>
      </w:r>
      <w:proofErr w:type="spellEnd"/>
      <w:r w:rsidRPr="00192C67">
        <w:rPr>
          <w:lang w:val="en-GB"/>
        </w:rPr>
        <w:t>,</w:t>
      </w:r>
      <w:r w:rsidRPr="00192C67">
        <w:rPr>
          <w:lang w:val="sr-Cyrl-BA"/>
        </w:rPr>
        <w:t xml:space="preserve"> чије су хартије од вриједности уврштене на службено берзанско тржиште, према члану 284. Закона о тржишту хартија од вриједности</w:t>
      </w:r>
      <w:r w:rsidRPr="00192C67">
        <w:rPr>
          <w:lang w:val="sr-Latn-BA"/>
        </w:rPr>
        <w:t xml:space="preserve"> </w:t>
      </w:r>
      <w:r w:rsidRPr="00192C67">
        <w:rPr>
          <w:lang w:val="sr-Cyrl-BA"/>
        </w:rPr>
        <w:t xml:space="preserve">и члану 2. став 1. Правилника о извјештавању и објављивању информација од стране </w:t>
      </w:r>
      <w:proofErr w:type="spellStart"/>
      <w:r w:rsidRPr="00192C67">
        <w:rPr>
          <w:lang w:val="sr-Cyrl-BA"/>
        </w:rPr>
        <w:t>емитената</w:t>
      </w:r>
      <w:proofErr w:type="spellEnd"/>
      <w:r w:rsidRPr="00192C67">
        <w:rPr>
          <w:lang w:val="sr-Cyrl-BA"/>
        </w:rPr>
        <w:t xml:space="preserve"> хартија од вриједности које су предмет јавне продаје,</w:t>
      </w:r>
      <w:r w:rsidRPr="00192C67">
        <w:rPr>
          <w:lang w:val="en-GB"/>
        </w:rPr>
        <w:t xml:space="preserve"> </w:t>
      </w:r>
      <w:r w:rsidRPr="00192C67">
        <w:rPr>
          <w:lang w:val="sr-Cyrl-BA"/>
        </w:rPr>
        <w:t>обавезни су да објављују:</w:t>
      </w:r>
    </w:p>
    <w:p w14:paraId="11C959F6" w14:textId="77777777" w:rsidR="003421E1" w:rsidRPr="00192C67" w:rsidRDefault="003421E1" w:rsidP="003421E1">
      <w:pPr>
        <w:spacing w:before="0" w:after="0" w:line="240" w:lineRule="auto"/>
        <w:ind w:left="851" w:hanging="284"/>
        <w:rPr>
          <w:lang w:val="sr-Cyrl-BA"/>
        </w:rPr>
      </w:pPr>
      <w:r w:rsidRPr="00192C67">
        <w:rPr>
          <w:lang w:val="sr-Cyrl-BA"/>
        </w:rPr>
        <w:t xml:space="preserve">а) годишње (укључујући и консолидоване финансијске извјештаје у случају да их, по </w:t>
      </w:r>
      <w:r w:rsidRPr="00192C67">
        <w:rPr>
          <w:lang w:val="sr-Cyrl-BA" w:bidi="en-US"/>
        </w:rPr>
        <w:t>рачуноводственим</w:t>
      </w:r>
      <w:r w:rsidRPr="00192C67">
        <w:rPr>
          <w:lang w:val="sr-Cyrl-BA"/>
        </w:rPr>
        <w:t xml:space="preserve"> прописима, израђују), полугодишње и тромјесечне финансијске извјештаје,</w:t>
      </w:r>
    </w:p>
    <w:p w14:paraId="748CEF22" w14:textId="77777777" w:rsidR="003421E1" w:rsidRPr="00192C67" w:rsidRDefault="003421E1" w:rsidP="003421E1">
      <w:pPr>
        <w:spacing w:before="0" w:after="0" w:line="240" w:lineRule="auto"/>
        <w:ind w:left="851" w:hanging="284"/>
        <w:rPr>
          <w:lang w:val="sr-Cyrl-BA"/>
        </w:rPr>
      </w:pPr>
      <w:r w:rsidRPr="00192C67">
        <w:rPr>
          <w:lang w:val="sr-Cyrl-BA"/>
        </w:rPr>
        <w:t xml:space="preserve">б) </w:t>
      </w:r>
      <w:r w:rsidRPr="00192C67">
        <w:rPr>
          <w:lang w:val="sr-Cyrl-BA" w:bidi="en-US"/>
        </w:rPr>
        <w:t>ревизорске</w:t>
      </w:r>
      <w:r w:rsidRPr="00192C67">
        <w:rPr>
          <w:lang w:val="sr-Cyrl-BA"/>
        </w:rPr>
        <w:t xml:space="preserve"> извјештаје,</w:t>
      </w:r>
    </w:p>
    <w:p w14:paraId="5DBED11A" w14:textId="77777777" w:rsidR="003421E1" w:rsidRPr="00192C67" w:rsidRDefault="003421E1" w:rsidP="003421E1">
      <w:pPr>
        <w:spacing w:before="0" w:after="0" w:line="240" w:lineRule="auto"/>
        <w:ind w:left="851" w:hanging="284"/>
        <w:rPr>
          <w:lang w:val="sr-Cyrl-BA"/>
        </w:rPr>
      </w:pPr>
      <w:r w:rsidRPr="00192C67">
        <w:rPr>
          <w:lang w:val="sr-Cyrl-BA"/>
        </w:rPr>
        <w:t xml:space="preserve">в) </w:t>
      </w:r>
      <w:r w:rsidRPr="00192C67">
        <w:rPr>
          <w:lang w:val="sr-Cyrl-BA" w:bidi="en-US"/>
        </w:rPr>
        <w:t>извјештаје</w:t>
      </w:r>
      <w:r w:rsidRPr="00192C67">
        <w:rPr>
          <w:lang w:val="sr-Cyrl-BA"/>
        </w:rPr>
        <w:t xml:space="preserve"> о пословању и о значајним догађајима и радњама које утичу на пословање </w:t>
      </w:r>
      <w:proofErr w:type="spellStart"/>
      <w:r w:rsidRPr="00192C67">
        <w:rPr>
          <w:lang w:val="sr-Cyrl-BA"/>
        </w:rPr>
        <w:t>емитента</w:t>
      </w:r>
      <w:proofErr w:type="spellEnd"/>
      <w:r w:rsidRPr="00192C67">
        <w:rPr>
          <w:lang w:val="sr-Cyrl-BA"/>
        </w:rPr>
        <w:t>,</w:t>
      </w:r>
    </w:p>
    <w:p w14:paraId="7C68C60E" w14:textId="77777777" w:rsidR="003421E1" w:rsidRPr="00192C67" w:rsidRDefault="003421E1" w:rsidP="003421E1">
      <w:pPr>
        <w:spacing w:before="0" w:after="0" w:line="240" w:lineRule="auto"/>
        <w:ind w:left="851" w:hanging="284"/>
        <w:rPr>
          <w:lang w:val="sr-Cyrl-BA"/>
        </w:rPr>
      </w:pPr>
      <w:r w:rsidRPr="00192C67">
        <w:rPr>
          <w:lang w:val="sr-Cyrl-BA"/>
        </w:rPr>
        <w:lastRenderedPageBreak/>
        <w:t>г) изјаву о усклађености поступања са кодексом понашања односно стандардима корпоративног управљања,</w:t>
      </w:r>
    </w:p>
    <w:p w14:paraId="5A8311B4" w14:textId="77777777" w:rsidR="003421E1" w:rsidRPr="00192C67" w:rsidRDefault="003421E1" w:rsidP="003421E1">
      <w:pPr>
        <w:spacing w:before="0" w:after="0" w:line="240" w:lineRule="auto"/>
        <w:ind w:left="851" w:hanging="284"/>
        <w:rPr>
          <w:lang w:val="sr-Cyrl-BA"/>
        </w:rPr>
      </w:pPr>
      <w:r w:rsidRPr="00192C67">
        <w:rPr>
          <w:lang w:val="sr-Cyrl-BA"/>
        </w:rPr>
        <w:t>д) посебан извјештај ревизора у складу са захтјевима Комисије,</w:t>
      </w:r>
    </w:p>
    <w:p w14:paraId="714B01BA" w14:textId="77777777" w:rsidR="003421E1" w:rsidRPr="00192C67" w:rsidRDefault="003421E1" w:rsidP="003421E1">
      <w:pPr>
        <w:spacing w:after="0" w:line="240" w:lineRule="auto"/>
        <w:ind w:firstLine="567"/>
        <w:rPr>
          <w:lang w:val="sr-Cyrl-BA"/>
        </w:rPr>
      </w:pPr>
      <w:r w:rsidRPr="00192C67">
        <w:rPr>
          <w:lang w:val="sr-Cyrl-BA"/>
        </w:rPr>
        <w:t xml:space="preserve">док су </w:t>
      </w:r>
      <w:proofErr w:type="spellStart"/>
      <w:r w:rsidRPr="00192C67">
        <w:rPr>
          <w:lang w:val="sr-Cyrl-BA"/>
        </w:rPr>
        <w:t>емитенти</w:t>
      </w:r>
      <w:proofErr w:type="spellEnd"/>
      <w:r w:rsidRPr="00192C67">
        <w:rPr>
          <w:lang w:val="sr-Cyrl-BA"/>
        </w:rPr>
        <w:t>, чијим се хартијама од вриједности тргује на слободном тржишту, према члану 285. Закона о тржишту хартија од вриједности</w:t>
      </w:r>
      <w:r w:rsidRPr="00192C67">
        <w:rPr>
          <w:lang w:val="sr-Latn-BA"/>
        </w:rPr>
        <w:t xml:space="preserve"> </w:t>
      </w:r>
      <w:r w:rsidRPr="00192C67">
        <w:rPr>
          <w:lang w:val="sr-Cyrl-BA"/>
        </w:rPr>
        <w:t xml:space="preserve">и члану 2. став </w:t>
      </w:r>
      <w:r>
        <w:rPr>
          <w:lang w:val="sr-Cyrl-BA"/>
        </w:rPr>
        <w:t>2</w:t>
      </w:r>
      <w:r w:rsidRPr="00192C67">
        <w:rPr>
          <w:lang w:val="sr-Cyrl-BA"/>
        </w:rPr>
        <w:t xml:space="preserve">. Правилника о извјештавању и објављивању информација од стране </w:t>
      </w:r>
      <w:proofErr w:type="spellStart"/>
      <w:r w:rsidRPr="00192C67">
        <w:rPr>
          <w:lang w:val="sr-Cyrl-BA"/>
        </w:rPr>
        <w:t>емитената</w:t>
      </w:r>
      <w:proofErr w:type="spellEnd"/>
      <w:r w:rsidRPr="00192C67">
        <w:rPr>
          <w:lang w:val="sr-Cyrl-BA"/>
        </w:rPr>
        <w:t xml:space="preserve"> хартија од вриједности које су предмет јавне продаје, обавезни да објављују:</w:t>
      </w:r>
    </w:p>
    <w:p w14:paraId="658E2684" w14:textId="77777777" w:rsidR="003421E1" w:rsidRPr="00192C67" w:rsidRDefault="003421E1" w:rsidP="003421E1">
      <w:pPr>
        <w:spacing w:before="0" w:after="0" w:line="240" w:lineRule="auto"/>
        <w:ind w:left="851" w:hanging="284"/>
        <w:rPr>
          <w:lang w:val="sr-Cyrl-BA"/>
        </w:rPr>
      </w:pPr>
      <w:r w:rsidRPr="00192C67">
        <w:rPr>
          <w:lang w:val="sr-Cyrl-BA"/>
        </w:rPr>
        <w:t xml:space="preserve">а) годишње финансијске извјештаје (укључујући и консолидоване финансијске </w:t>
      </w:r>
      <w:r w:rsidRPr="00192C67">
        <w:rPr>
          <w:lang w:val="sr-Cyrl-BA" w:bidi="en-US"/>
        </w:rPr>
        <w:t>извјештаје</w:t>
      </w:r>
      <w:r w:rsidRPr="00192C67">
        <w:rPr>
          <w:lang w:val="sr-Cyrl-BA"/>
        </w:rPr>
        <w:t xml:space="preserve"> у случају да их, по рачуноводственим прописима, израђују),</w:t>
      </w:r>
    </w:p>
    <w:p w14:paraId="1968902A" w14:textId="77777777" w:rsidR="003421E1" w:rsidRPr="00192C67" w:rsidRDefault="003421E1" w:rsidP="003421E1">
      <w:pPr>
        <w:spacing w:before="0" w:after="0" w:line="240" w:lineRule="auto"/>
        <w:ind w:left="851" w:hanging="284"/>
        <w:rPr>
          <w:lang w:val="sr-Cyrl-BA"/>
        </w:rPr>
      </w:pPr>
      <w:r w:rsidRPr="00192C67">
        <w:rPr>
          <w:lang w:val="sr-Cyrl-BA"/>
        </w:rPr>
        <w:t xml:space="preserve">б) </w:t>
      </w:r>
      <w:r w:rsidRPr="00192C67">
        <w:rPr>
          <w:lang w:val="sr-Cyrl-BA" w:bidi="en-US"/>
        </w:rPr>
        <w:t>ревизорске</w:t>
      </w:r>
      <w:r w:rsidRPr="00192C67">
        <w:rPr>
          <w:lang w:val="sr-Cyrl-BA"/>
        </w:rPr>
        <w:t xml:space="preserve"> извјештаје, </w:t>
      </w:r>
    </w:p>
    <w:p w14:paraId="5B6F588C" w14:textId="77777777" w:rsidR="003421E1" w:rsidRDefault="003421E1" w:rsidP="003421E1">
      <w:pPr>
        <w:spacing w:before="0" w:after="0" w:line="240" w:lineRule="auto"/>
        <w:ind w:left="851" w:hanging="284"/>
        <w:rPr>
          <w:lang w:val="sr-Cyrl-BA"/>
        </w:rPr>
      </w:pPr>
      <w:r w:rsidRPr="00192C67">
        <w:rPr>
          <w:lang w:val="sr-Cyrl-BA"/>
        </w:rPr>
        <w:t xml:space="preserve">в) </w:t>
      </w:r>
      <w:r w:rsidRPr="00192C67">
        <w:rPr>
          <w:lang w:val="sr-Cyrl-BA" w:bidi="en-US"/>
        </w:rPr>
        <w:t>извјештаје</w:t>
      </w:r>
      <w:r w:rsidRPr="00192C67">
        <w:rPr>
          <w:lang w:val="sr-Cyrl-BA"/>
        </w:rPr>
        <w:t xml:space="preserve"> о пословању и о значајним догађајима и радњама које утичу на пословање </w:t>
      </w:r>
      <w:proofErr w:type="spellStart"/>
      <w:r w:rsidRPr="00192C67">
        <w:rPr>
          <w:lang w:val="sr-Cyrl-BA"/>
        </w:rPr>
        <w:t>емитента</w:t>
      </w:r>
      <w:proofErr w:type="spellEnd"/>
      <w:r>
        <w:rPr>
          <w:lang w:val="sr-Cyrl-BA"/>
        </w:rPr>
        <w:t xml:space="preserve">, </w:t>
      </w:r>
    </w:p>
    <w:p w14:paraId="59A4E307" w14:textId="77777777" w:rsidR="003421E1" w:rsidRPr="00192C67" w:rsidRDefault="003421E1" w:rsidP="003421E1">
      <w:pPr>
        <w:spacing w:after="0" w:line="240" w:lineRule="auto"/>
        <w:ind w:firstLine="0"/>
        <w:rPr>
          <w:lang w:val="sr-Cyrl-BA"/>
        </w:rPr>
      </w:pPr>
      <w:r>
        <w:rPr>
          <w:lang w:val="sr-Cyrl-BA"/>
        </w:rPr>
        <w:t xml:space="preserve">а у случају да састављају и извјештаје које састављају </w:t>
      </w:r>
      <w:proofErr w:type="spellStart"/>
      <w:r>
        <w:rPr>
          <w:lang w:val="sr-Cyrl-BA"/>
        </w:rPr>
        <w:t>е</w:t>
      </w:r>
      <w:r w:rsidRPr="00192C67">
        <w:rPr>
          <w:lang w:val="sr-Cyrl-BA"/>
        </w:rPr>
        <w:t>митенти</w:t>
      </w:r>
      <w:proofErr w:type="spellEnd"/>
      <w:r w:rsidRPr="00192C67">
        <w:rPr>
          <w:lang w:val="sr-Cyrl-BA"/>
        </w:rPr>
        <w:t xml:space="preserve"> чије су хартије од вриједности уврштене на службено берзанско тржиште</w:t>
      </w:r>
      <w:r>
        <w:rPr>
          <w:lang w:val="sr-Cyrl-BA"/>
        </w:rPr>
        <w:t>, обавезни су да их објављују у складу са одредбама тог правилника.</w:t>
      </w:r>
      <w:bookmarkStart w:id="53" w:name="_Hlk163466528"/>
      <w:r>
        <w:rPr>
          <w:rStyle w:val="FootnoteReference"/>
          <w:lang w:val="sr-Cyrl-BA"/>
        </w:rPr>
        <w:footnoteReference w:id="5"/>
      </w:r>
      <w:bookmarkEnd w:id="53"/>
    </w:p>
    <w:p w14:paraId="25A65A29" w14:textId="77777777" w:rsidR="003421E1" w:rsidRPr="00192C67" w:rsidRDefault="003421E1" w:rsidP="003421E1">
      <w:pPr>
        <w:spacing w:after="0" w:line="240" w:lineRule="auto"/>
        <w:ind w:firstLine="567"/>
        <w:rPr>
          <w:lang w:val="sr-Cyrl-BA"/>
        </w:rPr>
      </w:pPr>
      <w:proofErr w:type="spellStart"/>
      <w:r w:rsidRPr="00192C67">
        <w:rPr>
          <w:lang w:val="sr-Cyrl-BA"/>
        </w:rPr>
        <w:t>Емитентима</w:t>
      </w:r>
      <w:proofErr w:type="spellEnd"/>
      <w:r w:rsidRPr="00192C67">
        <w:rPr>
          <w:lang w:val="sr-Cyrl-BA"/>
        </w:rPr>
        <w:t xml:space="preserve"> је омогућено да финансијске, ревизорске и извјештаје о пословању и о значајним догађајима достављају електронским средствима комуникације. Наведене извјештаје Бањалучка берза бесплатно објављује у оквиру информационог портала институција тржишта капитала (Комисије за хартије од вриједности, Бањалучке берзе и Централног регистра хартија од вриједности).</w:t>
      </w:r>
    </w:p>
    <w:p w14:paraId="79DDAFD5" w14:textId="0DB4559C" w:rsidR="003421E1" w:rsidRPr="00192C67" w:rsidRDefault="003421E1" w:rsidP="003421E1">
      <w:pPr>
        <w:spacing w:after="0" w:line="240" w:lineRule="auto"/>
        <w:ind w:firstLine="567"/>
        <w:rPr>
          <w:lang w:val="sr-Cyrl-BA"/>
        </w:rPr>
      </w:pPr>
      <w:r w:rsidRPr="00192C67">
        <w:rPr>
          <w:lang w:val="sr-Cyrl-BA"/>
        </w:rPr>
        <w:t>Ставом 2. члана 26. Закона о рачуноводству и ревизији Републике Српске</w:t>
      </w:r>
      <w:r>
        <w:rPr>
          <w:rStyle w:val="FootnoteReference"/>
          <w:lang w:val="sr-Cyrl-BA"/>
        </w:rPr>
        <w:footnoteReference w:id="6"/>
      </w:r>
      <w:r w:rsidRPr="00192C67">
        <w:rPr>
          <w:lang w:val="sr-Cyrl-BA"/>
        </w:rPr>
        <w:t xml:space="preserve"> омогућен је бесплатан увид у основне податке из преузетих финансијских извјештаја на интернет страници Агенције за посредничке, информатичке и финансијске услуге (АПИФ).</w:t>
      </w:r>
    </w:p>
    <w:p w14:paraId="48AF6F85" w14:textId="77777777" w:rsidR="003421E1" w:rsidRPr="00192C67" w:rsidRDefault="003421E1" w:rsidP="003421E1">
      <w:pPr>
        <w:spacing w:after="0" w:line="240" w:lineRule="auto"/>
        <w:ind w:firstLine="567"/>
        <w:rPr>
          <w:lang w:val="sr-Cyrl-BA"/>
        </w:rPr>
      </w:pPr>
      <w:r w:rsidRPr="00192C67">
        <w:rPr>
          <w:lang w:val="sr-Cyrl-BA"/>
        </w:rPr>
        <w:t xml:space="preserve">Већи дио преосталих обавеза за </w:t>
      </w:r>
      <w:proofErr w:type="spellStart"/>
      <w:r w:rsidRPr="00192C67">
        <w:rPr>
          <w:lang w:val="sr-Cyrl-BA"/>
        </w:rPr>
        <w:t>емитента</w:t>
      </w:r>
      <w:proofErr w:type="spellEnd"/>
      <w:r w:rsidRPr="00192C67">
        <w:rPr>
          <w:lang w:val="sr-Cyrl-BA"/>
        </w:rPr>
        <w:t xml:space="preserve">, реализују и саме институције тржишта капитала у име </w:t>
      </w:r>
      <w:proofErr w:type="spellStart"/>
      <w:r w:rsidRPr="00192C67">
        <w:rPr>
          <w:lang w:val="sr-Cyrl-BA"/>
        </w:rPr>
        <w:t>емитената</w:t>
      </w:r>
      <w:proofErr w:type="spellEnd"/>
      <w:r w:rsidRPr="00192C67">
        <w:rPr>
          <w:lang w:val="sr-Cyrl-BA"/>
        </w:rPr>
        <w:t xml:space="preserve">, па се већина наведених извјештаја и података у тим извјештајима преузимају из Регистра </w:t>
      </w:r>
      <w:proofErr w:type="spellStart"/>
      <w:r w:rsidRPr="00192C67">
        <w:rPr>
          <w:lang w:val="sr-Cyrl-BA"/>
        </w:rPr>
        <w:t>емитената</w:t>
      </w:r>
      <w:proofErr w:type="spellEnd"/>
      <w:r w:rsidRPr="00192C67">
        <w:rPr>
          <w:lang w:val="sr-Cyrl-BA"/>
        </w:rPr>
        <w:t xml:space="preserve"> хартија од вриједности који води Комисија (општи подаци о </w:t>
      </w:r>
      <w:proofErr w:type="spellStart"/>
      <w:r w:rsidRPr="00192C67">
        <w:rPr>
          <w:lang w:val="sr-Cyrl-BA"/>
        </w:rPr>
        <w:t>емитентима</w:t>
      </w:r>
      <w:proofErr w:type="spellEnd"/>
      <w:r w:rsidRPr="00192C67">
        <w:rPr>
          <w:lang w:val="sr-Cyrl-BA"/>
        </w:rPr>
        <w:t xml:space="preserve">, подаци о управи и одборима, подаци о повезаним правним лицима и подаци о емисији хартија од вриједности, различите врсте рјешења итд.) и Централног регистра хартија од вриједности (подаци о власницима и власничкој структури). На овај начин, тржишту је омогућена већа ефикасност при дисперзији информација, које су једноставно и бесплатно доступне свим заинтересованим странама, практично без трошкова за </w:t>
      </w:r>
      <w:proofErr w:type="spellStart"/>
      <w:r w:rsidRPr="00192C67">
        <w:rPr>
          <w:lang w:val="sr-Cyrl-BA"/>
        </w:rPr>
        <w:t>емитенте</w:t>
      </w:r>
      <w:proofErr w:type="spellEnd"/>
      <w:r w:rsidRPr="00192C67">
        <w:rPr>
          <w:lang w:val="sr-Cyrl-BA"/>
        </w:rPr>
        <w:t>.</w:t>
      </w:r>
    </w:p>
    <w:p w14:paraId="0D5625F3" w14:textId="77777777" w:rsidR="003421E1" w:rsidRPr="00192C67" w:rsidRDefault="003421E1" w:rsidP="003421E1">
      <w:pPr>
        <w:spacing w:after="0" w:line="240" w:lineRule="auto"/>
        <w:ind w:firstLine="567"/>
        <w:rPr>
          <w:lang w:val="en-GB"/>
        </w:rPr>
      </w:pPr>
      <w:r w:rsidRPr="00192C67">
        <w:rPr>
          <w:lang w:val="sr-Cyrl-BA"/>
        </w:rPr>
        <w:t>Дио наведених информација, које су предмет јавне објаве, попут оних из финансијских извјештаја и промету емитованих хартија на Бањалучкој берзи су расположиве и на енглеском језику.</w:t>
      </w:r>
    </w:p>
    <w:p w14:paraId="3CFA8C95" w14:textId="77FF30CB" w:rsidR="003421E1" w:rsidRPr="00192C67" w:rsidRDefault="003421E1" w:rsidP="003421E1">
      <w:pPr>
        <w:spacing w:after="0" w:line="240" w:lineRule="auto"/>
        <w:ind w:firstLine="567"/>
        <w:rPr>
          <w:lang w:val="sr-Cyrl-BA"/>
        </w:rPr>
      </w:pPr>
      <w:r>
        <w:rPr>
          <w:lang w:val="sr-Cyrl-BA"/>
        </w:rPr>
        <w:t>У 2023. години</w:t>
      </w:r>
      <w:r w:rsidRPr="00192C67">
        <w:rPr>
          <w:lang w:val="sr-Cyrl-BA"/>
        </w:rPr>
        <w:t xml:space="preserve"> Бањалучка берза је самостално и према захтјевима </w:t>
      </w:r>
      <w:proofErr w:type="spellStart"/>
      <w:r w:rsidRPr="00192C67">
        <w:rPr>
          <w:lang w:val="sr-Cyrl-BA"/>
        </w:rPr>
        <w:t>емитената</w:t>
      </w:r>
      <w:proofErr w:type="spellEnd"/>
      <w:r w:rsidRPr="00192C67">
        <w:rPr>
          <w:lang w:val="sr-Cyrl-BA"/>
        </w:rPr>
        <w:t xml:space="preserve"> објавила 1.486 корпоративних новости, углавном сазива за скупштину акционара, приједлога одлука и одлука скупштине акционара, обавјештења о стицању акција, јавних понуда за преузимање, мишљења о понуди за преузимање и других значајних догађаја. Дио тих информација преузиман је из дневних новина, док су остале информације добијене од </w:t>
      </w:r>
      <w:proofErr w:type="spellStart"/>
      <w:r w:rsidRPr="00192C67">
        <w:rPr>
          <w:lang w:val="sr-Cyrl-BA"/>
        </w:rPr>
        <w:t>емитената</w:t>
      </w:r>
      <w:proofErr w:type="spellEnd"/>
      <w:r w:rsidRPr="00192C67">
        <w:rPr>
          <w:lang w:val="sr-Cyrl-BA"/>
        </w:rPr>
        <w:t xml:space="preserve">. Укупан број објава на порталу Бањалучке берзе у </w:t>
      </w:r>
      <w:r w:rsidRPr="00192C67">
        <w:rPr>
          <w:lang w:val="sr-Cyrl-BA"/>
        </w:rPr>
        <w:lastRenderedPageBreak/>
        <w:t xml:space="preserve">извјештајном периоду је  износио 2.610, односно у просјеку сваки радни дан објављивано је око 10 објава. У наведене објаве нису укључене </w:t>
      </w:r>
      <w:proofErr w:type="spellStart"/>
      <w:r w:rsidRPr="00192C67">
        <w:rPr>
          <w:lang w:val="sr-Cyrl-BA"/>
        </w:rPr>
        <w:t>курсне</w:t>
      </w:r>
      <w:proofErr w:type="spellEnd"/>
      <w:r w:rsidRPr="00192C67">
        <w:rPr>
          <w:lang w:val="sr-Cyrl-BA"/>
        </w:rPr>
        <w:t xml:space="preserve"> листе, статистички и други извјештаји Бањалучке берзе у вези са трговањем.</w:t>
      </w:r>
    </w:p>
    <w:p w14:paraId="72EFF788" w14:textId="04CCC5FF" w:rsidR="003421E1" w:rsidRPr="00192C67" w:rsidRDefault="003421E1" w:rsidP="003421E1">
      <w:pPr>
        <w:spacing w:after="0" w:line="240" w:lineRule="auto"/>
        <w:ind w:firstLine="567"/>
        <w:rPr>
          <w:lang w:val="sr-Cyrl-BA"/>
        </w:rPr>
      </w:pPr>
      <w:r w:rsidRPr="00192C67">
        <w:rPr>
          <w:lang w:val="sr-Cyrl-BA"/>
        </w:rPr>
        <w:t xml:space="preserve">У </w:t>
      </w:r>
      <w:r>
        <w:rPr>
          <w:lang w:val="sr-Cyrl-BA"/>
        </w:rPr>
        <w:t>2023. години</w:t>
      </w:r>
      <w:r w:rsidRPr="00192C67">
        <w:rPr>
          <w:lang w:val="sr-Cyrl-BA"/>
        </w:rPr>
        <w:t xml:space="preserve"> објављен</w:t>
      </w:r>
      <w:r>
        <w:rPr>
          <w:lang w:val="sr-Cyrl-BA"/>
        </w:rPr>
        <w:t>о</w:t>
      </w:r>
      <w:r w:rsidRPr="00192C67">
        <w:rPr>
          <w:lang w:val="sr-Cyrl-BA"/>
        </w:rPr>
        <w:t xml:space="preserve"> </w:t>
      </w:r>
      <w:r>
        <w:rPr>
          <w:lang w:val="sr-Cyrl-BA"/>
        </w:rPr>
        <w:t>је</w:t>
      </w:r>
      <w:r w:rsidRPr="00192C67">
        <w:rPr>
          <w:lang w:val="sr-Cyrl-BA"/>
        </w:rPr>
        <w:t xml:space="preserve"> 199 извјештаја ревизора о финансијским извјештајима за 2022. годину и 9 за раније године, 35 </w:t>
      </w:r>
      <w:proofErr w:type="spellStart"/>
      <w:r w:rsidRPr="00192C67">
        <w:rPr>
          <w:lang w:val="sr-Cyrl-BA"/>
        </w:rPr>
        <w:t>неревидираних</w:t>
      </w:r>
      <w:proofErr w:type="spellEnd"/>
      <w:r w:rsidRPr="00192C67">
        <w:rPr>
          <w:lang w:val="sr-Cyrl-BA"/>
        </w:rPr>
        <w:t xml:space="preserve"> годишњих финансијских извјештаја за 2022. годину </w:t>
      </w:r>
      <w:proofErr w:type="spellStart"/>
      <w:r w:rsidRPr="00192C67">
        <w:rPr>
          <w:lang w:val="sr-Cyrl-BA"/>
        </w:rPr>
        <w:t>емитената</w:t>
      </w:r>
      <w:proofErr w:type="spellEnd"/>
      <w:r w:rsidRPr="00192C67">
        <w:rPr>
          <w:lang w:val="sr-Cyrl-BA"/>
        </w:rPr>
        <w:t xml:space="preserve"> који су листирани на службеном берзанском </w:t>
      </w:r>
      <w:r w:rsidRPr="00192C67">
        <w:rPr>
          <w:shd w:val="clear" w:color="auto" w:fill="FFFFFF" w:themeFill="background1"/>
          <w:lang w:val="sr-Cyrl-BA"/>
        </w:rPr>
        <w:t xml:space="preserve">тржишту, те 154 </w:t>
      </w:r>
      <w:proofErr w:type="spellStart"/>
      <w:r w:rsidRPr="00192C67">
        <w:rPr>
          <w:shd w:val="clear" w:color="auto" w:fill="FFFFFF" w:themeFill="background1"/>
          <w:lang w:val="sr-Cyrl-BA"/>
        </w:rPr>
        <w:t>неревидираних</w:t>
      </w:r>
      <w:proofErr w:type="spellEnd"/>
      <w:r w:rsidRPr="00192C67">
        <w:rPr>
          <w:shd w:val="clear" w:color="auto" w:fill="FFFFFF" w:themeFill="background1"/>
          <w:lang w:val="sr-Cyrl-BA"/>
        </w:rPr>
        <w:t xml:space="preserve"> финансијских извјештаја за 2022. годину за </w:t>
      </w:r>
      <w:proofErr w:type="spellStart"/>
      <w:r w:rsidRPr="00192C67">
        <w:rPr>
          <w:shd w:val="clear" w:color="auto" w:fill="FFFFFF" w:themeFill="background1"/>
          <w:lang w:val="sr-Cyrl-BA"/>
        </w:rPr>
        <w:t>емитенте</w:t>
      </w:r>
      <w:proofErr w:type="spellEnd"/>
      <w:r w:rsidRPr="00192C67">
        <w:rPr>
          <w:shd w:val="clear" w:color="auto" w:fill="FFFFFF" w:themeFill="background1"/>
          <w:lang w:val="sr-Cyrl-BA"/>
        </w:rPr>
        <w:t xml:space="preserve"> чије су акције уврштене на слободно тржиште</w:t>
      </w:r>
      <w:r w:rsidRPr="00192C67">
        <w:rPr>
          <w:lang w:val="sr-Cyrl-BA"/>
        </w:rPr>
        <w:t>.</w:t>
      </w:r>
    </w:p>
    <w:p w14:paraId="7AF82094" w14:textId="77777777" w:rsidR="003421E1" w:rsidRPr="00192C67" w:rsidRDefault="003421E1" w:rsidP="003421E1">
      <w:pPr>
        <w:spacing w:after="0" w:line="240" w:lineRule="auto"/>
        <w:ind w:firstLine="567"/>
        <w:rPr>
          <w:lang w:val="en-GB"/>
        </w:rPr>
      </w:pPr>
      <w:r w:rsidRPr="00192C67">
        <w:rPr>
          <w:lang w:val="sr-Cyrl-BA"/>
        </w:rPr>
        <w:t>Иако информациони портал тржишта капитала у Републици Српској располаже са знатним бројем номинално</w:t>
      </w:r>
      <w:r w:rsidRPr="00192C67">
        <w:rPr>
          <w:lang w:val="sr-Latn-BA"/>
        </w:rPr>
        <w:t xml:space="preserve"> </w:t>
      </w:r>
      <w:r w:rsidRPr="00192C67">
        <w:rPr>
          <w:lang w:val="sr-Cyrl-BA"/>
        </w:rPr>
        <w:t xml:space="preserve">релевантних информација о </w:t>
      </w:r>
      <w:proofErr w:type="spellStart"/>
      <w:r w:rsidRPr="00192C67">
        <w:rPr>
          <w:lang w:val="sr-Cyrl-BA"/>
        </w:rPr>
        <w:t>емитентима</w:t>
      </w:r>
      <w:proofErr w:type="spellEnd"/>
      <w:r w:rsidRPr="00192C67">
        <w:rPr>
          <w:lang w:val="sr-Cyrl-BA"/>
        </w:rPr>
        <w:t xml:space="preserve"> и даље постоји потреба да привредни субјекти који су на тржиште капитала доспјели посредством приватизационих процеса остваре већи кредибилитет са становишта поштовања стандарда при управљању акционарским друштвима. Наиме, легитимитет њиховог појављивања на тржишту хартија од вриједности са захтјевом за прикупљање новчаних средстава продајом хартија од вриједности зависи од могућности инвеститора да добију релевантне информације, али и ефикасну заштиту сопствених интереса.</w:t>
      </w:r>
    </w:p>
    <w:p w14:paraId="7B4D6910"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54" w:name="_Toc167960427"/>
      <w:r w:rsidRPr="00EC6422">
        <w:rPr>
          <w:rFonts w:ascii="Times New Roman" w:hAnsi="Times New Roman"/>
          <w:caps w:val="0"/>
          <w:color w:val="002060"/>
          <w:lang w:val="sr-Cyrl-BA"/>
        </w:rPr>
        <w:t>ПРЕУЗИМАЊЕ АКЦИОНАРСКИХ ДРУШТАВА</w:t>
      </w:r>
      <w:bookmarkEnd w:id="49"/>
      <w:bookmarkEnd w:id="50"/>
      <w:bookmarkEnd w:id="51"/>
      <w:bookmarkEnd w:id="52"/>
      <w:bookmarkEnd w:id="54"/>
    </w:p>
    <w:p w14:paraId="2F612F4C" w14:textId="77777777" w:rsidR="007E2F40" w:rsidRPr="00742706" w:rsidRDefault="007E2F40" w:rsidP="007E2F40">
      <w:pPr>
        <w:spacing w:after="0" w:line="240" w:lineRule="auto"/>
        <w:ind w:firstLine="567"/>
        <w:rPr>
          <w:lang w:val="sr-Cyrl-BA"/>
        </w:rPr>
      </w:pPr>
      <w:r>
        <w:rPr>
          <w:lang w:val="sr-Cyrl-BA"/>
        </w:rPr>
        <w:t>Поступак преузимања отворених акционарских друштава обавља се у складу са Законом о преузимању акционарских друштава</w:t>
      </w:r>
      <w:r>
        <w:rPr>
          <w:rStyle w:val="FootnoteReference"/>
          <w:lang w:val="sr-Cyrl-BA"/>
        </w:rPr>
        <w:footnoteReference w:id="7"/>
      </w:r>
      <w:r>
        <w:rPr>
          <w:lang w:val="sr-Cyrl-BA"/>
        </w:rPr>
        <w:t xml:space="preserve">, </w:t>
      </w:r>
      <w:r w:rsidRPr="00742706">
        <w:rPr>
          <w:lang w:val="sr-Cyrl-BA"/>
        </w:rPr>
        <w:t xml:space="preserve">чије одредбе омогућавају мањинским, али и другим акционарима да, у поступку преузимања друштва по унапријед утврђеним условима продају акције </w:t>
      </w:r>
      <w:proofErr w:type="spellStart"/>
      <w:r w:rsidRPr="00742706">
        <w:rPr>
          <w:lang w:val="sr-Cyrl-BA"/>
        </w:rPr>
        <w:t>емитената</w:t>
      </w:r>
      <w:proofErr w:type="spellEnd"/>
      <w:r w:rsidRPr="00742706">
        <w:rPr>
          <w:lang w:val="sr-Cyrl-BA"/>
        </w:rPr>
        <w:t xml:space="preserve"> у којима немају знатнијег утицаја на управљање, или других интереса. Важност овог закона на </w:t>
      </w:r>
      <w:proofErr w:type="spellStart"/>
      <w:r w:rsidRPr="00742706">
        <w:rPr>
          <w:lang w:val="sr-Cyrl-BA"/>
        </w:rPr>
        <w:t>неликвидним</w:t>
      </w:r>
      <w:proofErr w:type="spellEnd"/>
      <w:r w:rsidRPr="00742706">
        <w:rPr>
          <w:lang w:val="sr-Cyrl-BA"/>
        </w:rPr>
        <w:t xml:space="preserve"> тржиштима, попут нашег, посебно је наглашена, с обзиром да је број заинтересованих инвеститора за поједине </w:t>
      </w:r>
      <w:proofErr w:type="spellStart"/>
      <w:r w:rsidRPr="00742706">
        <w:rPr>
          <w:lang w:val="sr-Cyrl-BA"/>
        </w:rPr>
        <w:t>емитенте</w:t>
      </w:r>
      <w:proofErr w:type="spellEnd"/>
      <w:r w:rsidRPr="00742706">
        <w:rPr>
          <w:lang w:val="sr-Cyrl-BA"/>
        </w:rPr>
        <w:t xml:space="preserve"> релативно мали, често сведен само на једног купца.</w:t>
      </w:r>
    </w:p>
    <w:p w14:paraId="3E60535F" w14:textId="0517F79E" w:rsidR="007E2F40" w:rsidRDefault="004353DF" w:rsidP="007E2F40">
      <w:pPr>
        <w:spacing w:after="0" w:line="240" w:lineRule="auto"/>
        <w:ind w:firstLine="567"/>
        <w:rPr>
          <w:lang w:val="sr-Cyrl-CS"/>
        </w:rPr>
      </w:pPr>
      <w:r w:rsidRPr="00192C67">
        <w:rPr>
          <w:lang w:val="sr-Cyrl-CS"/>
        </w:rPr>
        <w:t>Отворена акционарска друштва</w:t>
      </w:r>
      <w:r w:rsidRPr="00192C67">
        <w:rPr>
          <w:rStyle w:val="FootnoteReference"/>
          <w:lang w:val="sr-Cyrl-CS"/>
        </w:rPr>
        <w:footnoteReference w:id="8"/>
      </w:r>
      <w:r w:rsidRPr="00192C67">
        <w:rPr>
          <w:lang w:val="sr-Cyrl-CS"/>
        </w:rPr>
        <w:t xml:space="preserve"> су садашњи правни статус стекла у процесу приватизације. Релативно велика дисперзија власништва, узрокована масовном </w:t>
      </w:r>
      <w:r w:rsidRPr="00192C67">
        <w:rPr>
          <w:lang w:val="ru-RU"/>
        </w:rPr>
        <w:t>ваучерском</w:t>
      </w:r>
      <w:r w:rsidRPr="00192C67">
        <w:rPr>
          <w:lang w:val="sr-Cyrl-CS"/>
        </w:rPr>
        <w:t xml:space="preserve"> приватизацијом, чак и у малим предузећима (посматрано са аспекта величине капитала) имала је за посљедицу већи број преузимања у ранијим извјештајним периодима. Ипак, током посљедњих година примјетан је очекивани тренд смањења ових поступака, јер је консолидација власништва у највећем броју емитената завршена, а поступци преузимања се обављају само да би се прешао „праг“ од 90%, што би омогућило провођење поступка истискивања мањинских акционара (према члану </w:t>
      </w:r>
      <w:r w:rsidRPr="00192C67">
        <w:rPr>
          <w:lang w:val="sr-Latn-BA"/>
        </w:rPr>
        <w:t>438</w:t>
      </w:r>
      <w:r w:rsidRPr="00192C67">
        <w:rPr>
          <w:lang w:val="sr-Cyrl-CS"/>
        </w:rPr>
        <w:t>. став 1. Закона о привредним друштвима) и касније затварање акционарских друштва или промјену правне форме, те делистирање хартија са Берзе</w:t>
      </w:r>
      <w:r w:rsidR="007E2F40">
        <w:rPr>
          <w:lang w:val="sr-Cyrl-CS"/>
        </w:rPr>
        <w:t>.</w:t>
      </w:r>
    </w:p>
    <w:p w14:paraId="7634116D" w14:textId="3A743D78" w:rsidR="007E2F40" w:rsidRDefault="007E2F40" w:rsidP="000A10DE">
      <w:pPr>
        <w:spacing w:line="240" w:lineRule="auto"/>
        <w:ind w:firstLine="567"/>
        <w:rPr>
          <w:lang w:val="sr-Latn-BA"/>
        </w:rPr>
      </w:pPr>
      <w:r w:rsidRPr="00FB7ADC">
        <w:rPr>
          <w:lang w:val="sr-Cyrl-CS"/>
        </w:rPr>
        <w:t xml:space="preserve">У току </w:t>
      </w:r>
      <w:r w:rsidRPr="007E2F40">
        <w:rPr>
          <w:lang w:val="sr-Cyrl-BA"/>
        </w:rPr>
        <w:t>202</w:t>
      </w:r>
      <w:r w:rsidR="004353DF">
        <w:rPr>
          <w:lang w:val="sr-Cyrl-BA"/>
        </w:rPr>
        <w:t>3</w:t>
      </w:r>
      <w:r w:rsidRPr="00FB7ADC">
        <w:rPr>
          <w:lang w:val="sr-Cyrl-CS"/>
        </w:rPr>
        <w:t xml:space="preserve">. године поступак преузимања је окончан у </w:t>
      </w:r>
      <w:r w:rsidR="004353DF">
        <w:rPr>
          <w:lang w:val="sr-Cyrl-CS"/>
        </w:rPr>
        <w:t>11</w:t>
      </w:r>
      <w:r w:rsidRPr="00FB7ADC">
        <w:rPr>
          <w:lang w:val="sr-Cyrl-CS"/>
        </w:rPr>
        <w:t xml:space="preserve"> случај</w:t>
      </w:r>
      <w:r>
        <w:rPr>
          <w:lang w:val="sr-Cyrl-CS"/>
        </w:rPr>
        <w:t>ев</w:t>
      </w:r>
      <w:r w:rsidRPr="00FB7ADC">
        <w:rPr>
          <w:lang w:val="sr-Cyrl-CS"/>
        </w:rPr>
        <w:t>а</w:t>
      </w:r>
      <w:r w:rsidR="00965E3A">
        <w:rPr>
          <w:lang w:val="sr-Latn-BA"/>
        </w:rPr>
        <w:t>.</w:t>
      </w:r>
    </w:p>
    <w:p w14:paraId="1866F42C" w14:textId="6C9CFFFD" w:rsidR="00C82038" w:rsidRDefault="00C82038" w:rsidP="000A10DE">
      <w:pPr>
        <w:spacing w:line="240" w:lineRule="auto"/>
        <w:ind w:firstLine="567"/>
        <w:rPr>
          <w:lang w:val="sr-Latn-BA"/>
        </w:rPr>
      </w:pPr>
    </w:p>
    <w:p w14:paraId="5E156EC4" w14:textId="774737BB" w:rsidR="00C82038" w:rsidRDefault="00C82038" w:rsidP="000A10DE">
      <w:pPr>
        <w:spacing w:line="240" w:lineRule="auto"/>
        <w:ind w:firstLine="567"/>
        <w:rPr>
          <w:lang w:val="sr-Latn-BA"/>
        </w:rPr>
      </w:pPr>
    </w:p>
    <w:p w14:paraId="0231FBAC" w14:textId="529096FA" w:rsidR="00C82038" w:rsidRDefault="00C82038" w:rsidP="000A10DE">
      <w:pPr>
        <w:spacing w:line="240" w:lineRule="auto"/>
        <w:ind w:firstLine="567"/>
        <w:rPr>
          <w:lang w:val="sr-Latn-BA"/>
        </w:rPr>
      </w:pPr>
    </w:p>
    <w:p w14:paraId="0FFCD615" w14:textId="71ADA543" w:rsidR="00C82038" w:rsidRDefault="00C82038" w:rsidP="000A10DE">
      <w:pPr>
        <w:spacing w:line="240" w:lineRule="auto"/>
        <w:ind w:firstLine="567"/>
        <w:rPr>
          <w:lang w:val="sr-Latn-BA"/>
        </w:rPr>
      </w:pPr>
    </w:p>
    <w:p w14:paraId="2DAA000A" w14:textId="77777777" w:rsidR="00C82038" w:rsidRDefault="00C82038" w:rsidP="000A10DE">
      <w:pPr>
        <w:spacing w:line="240" w:lineRule="auto"/>
        <w:ind w:firstLine="567"/>
        <w:rPr>
          <w:lang w:val="sr-Latn-BA"/>
        </w:rPr>
      </w:pPr>
    </w:p>
    <w:tbl>
      <w:tblPr>
        <w:tblpPr w:leftFromText="180" w:rightFromText="180" w:vertAnchor="text" w:tblpXSpec="center" w:tblpY="1"/>
        <w:tblOverlap w:val="never"/>
        <w:tblW w:w="5037"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489"/>
        <w:gridCol w:w="2044"/>
        <w:gridCol w:w="1126"/>
        <w:gridCol w:w="1970"/>
        <w:gridCol w:w="1218"/>
        <w:gridCol w:w="1250"/>
        <w:gridCol w:w="1259"/>
      </w:tblGrid>
      <w:tr w:rsidR="004353DF" w:rsidRPr="0053265D" w14:paraId="285A5309" w14:textId="77777777" w:rsidTr="004353DF">
        <w:trPr>
          <w:trHeight w:val="333"/>
          <w:tblHeader/>
        </w:trPr>
        <w:tc>
          <w:tcPr>
            <w:tcW w:w="261" w:type="pct"/>
            <w:vMerge w:val="restart"/>
            <w:tcBorders>
              <w:top w:val="single" w:sz="2" w:space="0" w:color="548DD4" w:themeColor="text2" w:themeTint="99"/>
              <w:left w:val="single" w:sz="2" w:space="0" w:color="548DD4" w:themeColor="text2" w:themeTint="99"/>
              <w:bottom w:val="nil"/>
              <w:right w:val="nil"/>
            </w:tcBorders>
            <w:shd w:val="clear" w:color="auto" w:fill="auto"/>
            <w:vAlign w:val="center"/>
          </w:tcPr>
          <w:p w14:paraId="0BCA5961" w14:textId="77777777" w:rsidR="004353DF" w:rsidRPr="0053265D" w:rsidRDefault="004353DF" w:rsidP="009F2A58">
            <w:pPr>
              <w:pStyle w:val="Table"/>
              <w:jc w:val="center"/>
              <w:rPr>
                <w:b/>
                <w:lang w:val="sr-Cyrl-CS"/>
              </w:rPr>
            </w:pPr>
            <w:r w:rsidRPr="0053265D">
              <w:rPr>
                <w:b/>
                <w:lang w:val="sr-Cyrl-CS"/>
              </w:rPr>
              <w:lastRenderedPageBreak/>
              <w:t>Р. бр.</w:t>
            </w:r>
          </w:p>
        </w:tc>
        <w:tc>
          <w:tcPr>
            <w:tcW w:w="1092" w:type="pct"/>
            <w:vMerge w:val="restart"/>
            <w:tcBorders>
              <w:top w:val="single" w:sz="2" w:space="0" w:color="548DD4" w:themeColor="text2" w:themeTint="99"/>
              <w:left w:val="nil"/>
              <w:bottom w:val="nil"/>
              <w:right w:val="nil"/>
            </w:tcBorders>
            <w:shd w:val="clear" w:color="auto" w:fill="auto"/>
            <w:vAlign w:val="center"/>
          </w:tcPr>
          <w:p w14:paraId="6CD38666" w14:textId="77777777" w:rsidR="004353DF" w:rsidRPr="0053265D" w:rsidRDefault="004353DF" w:rsidP="009F2A58">
            <w:pPr>
              <w:pStyle w:val="Table"/>
              <w:jc w:val="center"/>
              <w:rPr>
                <w:b/>
                <w:lang w:val="sr-Cyrl-CS"/>
              </w:rPr>
            </w:pPr>
            <w:r w:rsidRPr="0053265D">
              <w:rPr>
                <w:b/>
                <w:lang w:val="sr-Cyrl-CS"/>
              </w:rPr>
              <w:t>Акционарско друштво (емитент)</w:t>
            </w:r>
          </w:p>
        </w:tc>
        <w:tc>
          <w:tcPr>
            <w:tcW w:w="602" w:type="pct"/>
            <w:vMerge w:val="restart"/>
            <w:tcBorders>
              <w:top w:val="single" w:sz="2" w:space="0" w:color="548DD4" w:themeColor="text2" w:themeTint="99"/>
              <w:left w:val="nil"/>
              <w:bottom w:val="nil"/>
              <w:right w:val="nil"/>
            </w:tcBorders>
            <w:shd w:val="clear" w:color="auto" w:fill="auto"/>
            <w:vAlign w:val="center"/>
          </w:tcPr>
          <w:p w14:paraId="09D7DEAF" w14:textId="77777777" w:rsidR="004353DF" w:rsidRPr="0053265D" w:rsidRDefault="004353DF" w:rsidP="009F2A58">
            <w:pPr>
              <w:pStyle w:val="Table"/>
              <w:jc w:val="center"/>
              <w:rPr>
                <w:b/>
                <w:lang w:val="sr-Cyrl-CS"/>
              </w:rPr>
            </w:pPr>
            <w:r w:rsidRPr="0053265D">
              <w:rPr>
                <w:b/>
                <w:lang w:val="sr-Cyrl-CS"/>
              </w:rPr>
              <w:t>Основни капитал емитента (КМ)</w:t>
            </w:r>
          </w:p>
        </w:tc>
        <w:tc>
          <w:tcPr>
            <w:tcW w:w="1053" w:type="pct"/>
            <w:vMerge w:val="restart"/>
            <w:tcBorders>
              <w:top w:val="single" w:sz="2" w:space="0" w:color="548DD4" w:themeColor="text2" w:themeTint="99"/>
              <w:left w:val="nil"/>
              <w:bottom w:val="nil"/>
              <w:right w:val="nil"/>
            </w:tcBorders>
            <w:shd w:val="clear" w:color="auto" w:fill="auto"/>
            <w:vAlign w:val="center"/>
          </w:tcPr>
          <w:p w14:paraId="39869B25" w14:textId="77777777" w:rsidR="004353DF" w:rsidRPr="0053265D" w:rsidRDefault="004353DF" w:rsidP="009F2A58">
            <w:pPr>
              <w:pStyle w:val="Table"/>
              <w:jc w:val="center"/>
              <w:rPr>
                <w:b/>
                <w:lang w:val="sr-Cyrl-CS"/>
              </w:rPr>
            </w:pPr>
            <w:r w:rsidRPr="0053265D">
              <w:rPr>
                <w:b/>
                <w:lang w:val="sr-Cyrl-CS"/>
              </w:rPr>
              <w:t>Понудилац и лице/лица која с понудиоцем заједнички дјелују</w:t>
            </w:r>
          </w:p>
        </w:tc>
        <w:tc>
          <w:tcPr>
            <w:tcW w:w="651" w:type="pct"/>
            <w:vMerge w:val="restart"/>
            <w:tcBorders>
              <w:top w:val="single" w:sz="2" w:space="0" w:color="548DD4" w:themeColor="text2" w:themeTint="99"/>
              <w:left w:val="nil"/>
              <w:bottom w:val="nil"/>
              <w:right w:val="nil"/>
            </w:tcBorders>
            <w:shd w:val="clear" w:color="auto" w:fill="auto"/>
            <w:vAlign w:val="center"/>
          </w:tcPr>
          <w:p w14:paraId="7BFA9D6D" w14:textId="77777777" w:rsidR="004353DF" w:rsidRPr="0053265D" w:rsidRDefault="004353DF" w:rsidP="009F2A58">
            <w:pPr>
              <w:pStyle w:val="Table"/>
              <w:jc w:val="center"/>
              <w:rPr>
                <w:b/>
                <w:lang w:val="sr-Cyrl-CS"/>
              </w:rPr>
            </w:pPr>
            <w:r w:rsidRPr="0053265D">
              <w:rPr>
                <w:b/>
                <w:lang w:val="sr-Cyrl-CS"/>
              </w:rPr>
              <w:t xml:space="preserve">Цијена у поступку преузимања </w:t>
            </w:r>
          </w:p>
          <w:p w14:paraId="58764745" w14:textId="77777777" w:rsidR="004353DF" w:rsidRPr="0053265D" w:rsidRDefault="004353DF" w:rsidP="009F2A58">
            <w:pPr>
              <w:pStyle w:val="Table"/>
              <w:jc w:val="center"/>
              <w:rPr>
                <w:b/>
                <w:lang w:val="sr-Cyrl-CS"/>
              </w:rPr>
            </w:pPr>
            <w:r w:rsidRPr="0053265D">
              <w:rPr>
                <w:b/>
                <w:lang w:val="sr-Cyrl-CS"/>
              </w:rPr>
              <w:t>(КМ)</w:t>
            </w:r>
          </w:p>
        </w:tc>
        <w:tc>
          <w:tcPr>
            <w:tcW w:w="1341" w:type="pct"/>
            <w:gridSpan w:val="2"/>
            <w:tcBorders>
              <w:top w:val="single" w:sz="2" w:space="0" w:color="548DD4" w:themeColor="text2" w:themeTint="99"/>
              <w:left w:val="nil"/>
              <w:bottom w:val="nil"/>
              <w:right w:val="single" w:sz="2" w:space="0" w:color="548DD4" w:themeColor="text2" w:themeTint="99"/>
            </w:tcBorders>
            <w:shd w:val="clear" w:color="auto" w:fill="auto"/>
            <w:vAlign w:val="center"/>
          </w:tcPr>
          <w:p w14:paraId="4C9918D4" w14:textId="77777777" w:rsidR="004353DF" w:rsidRPr="0053265D" w:rsidRDefault="004353DF" w:rsidP="009F2A58">
            <w:pPr>
              <w:pStyle w:val="Table"/>
              <w:jc w:val="center"/>
              <w:rPr>
                <w:b/>
                <w:lang w:val="sr-Cyrl-CS"/>
              </w:rPr>
            </w:pPr>
            <w:r w:rsidRPr="0053265D">
              <w:rPr>
                <w:b/>
                <w:lang w:val="sr-Cyrl-CS"/>
              </w:rPr>
              <w:t>Проценат акција с правом гласа у власништву понудиоца</w:t>
            </w:r>
          </w:p>
        </w:tc>
      </w:tr>
      <w:tr w:rsidR="004353DF" w:rsidRPr="0053265D" w14:paraId="64C56477" w14:textId="77777777" w:rsidTr="004353DF">
        <w:trPr>
          <w:trHeight w:val="333"/>
          <w:tblHeader/>
        </w:trPr>
        <w:tc>
          <w:tcPr>
            <w:tcW w:w="261" w:type="pct"/>
            <w:vMerge/>
            <w:tcBorders>
              <w:top w:val="nil"/>
              <w:left w:val="single" w:sz="2" w:space="0" w:color="548DD4" w:themeColor="text2" w:themeTint="99"/>
              <w:bottom w:val="single" w:sz="18" w:space="0" w:color="548DD4" w:themeColor="text2" w:themeTint="99"/>
              <w:right w:val="nil"/>
            </w:tcBorders>
            <w:shd w:val="clear" w:color="auto" w:fill="auto"/>
            <w:vAlign w:val="center"/>
          </w:tcPr>
          <w:p w14:paraId="2C3047D4" w14:textId="77777777" w:rsidR="004353DF" w:rsidRPr="0053265D" w:rsidRDefault="004353DF" w:rsidP="009F2A58">
            <w:pPr>
              <w:pStyle w:val="Table"/>
              <w:jc w:val="center"/>
              <w:rPr>
                <w:b/>
                <w:lang w:val="sr-Cyrl-CS"/>
              </w:rPr>
            </w:pPr>
          </w:p>
        </w:tc>
        <w:tc>
          <w:tcPr>
            <w:tcW w:w="1092" w:type="pct"/>
            <w:vMerge/>
            <w:tcBorders>
              <w:top w:val="nil"/>
              <w:left w:val="nil"/>
              <w:bottom w:val="single" w:sz="18" w:space="0" w:color="548DD4" w:themeColor="text2" w:themeTint="99"/>
              <w:right w:val="nil"/>
            </w:tcBorders>
            <w:shd w:val="clear" w:color="auto" w:fill="auto"/>
            <w:vAlign w:val="center"/>
          </w:tcPr>
          <w:p w14:paraId="53405566" w14:textId="77777777" w:rsidR="004353DF" w:rsidRPr="0053265D" w:rsidRDefault="004353DF" w:rsidP="009F2A58">
            <w:pPr>
              <w:pStyle w:val="Table"/>
              <w:jc w:val="center"/>
              <w:rPr>
                <w:b/>
                <w:lang w:val="sr-Cyrl-CS"/>
              </w:rPr>
            </w:pPr>
          </w:p>
        </w:tc>
        <w:tc>
          <w:tcPr>
            <w:tcW w:w="602" w:type="pct"/>
            <w:vMerge/>
            <w:tcBorders>
              <w:top w:val="nil"/>
              <w:left w:val="nil"/>
              <w:bottom w:val="single" w:sz="18" w:space="0" w:color="548DD4" w:themeColor="text2" w:themeTint="99"/>
              <w:right w:val="nil"/>
            </w:tcBorders>
            <w:shd w:val="clear" w:color="auto" w:fill="auto"/>
            <w:vAlign w:val="center"/>
          </w:tcPr>
          <w:p w14:paraId="66190B89" w14:textId="77777777" w:rsidR="004353DF" w:rsidRPr="0053265D" w:rsidRDefault="004353DF" w:rsidP="009F2A58">
            <w:pPr>
              <w:pStyle w:val="Table"/>
              <w:jc w:val="center"/>
              <w:rPr>
                <w:b/>
                <w:lang w:val="sr-Cyrl-CS"/>
              </w:rPr>
            </w:pPr>
          </w:p>
        </w:tc>
        <w:tc>
          <w:tcPr>
            <w:tcW w:w="1053" w:type="pct"/>
            <w:vMerge/>
            <w:tcBorders>
              <w:top w:val="nil"/>
              <w:left w:val="nil"/>
              <w:bottom w:val="single" w:sz="18" w:space="0" w:color="548DD4" w:themeColor="text2" w:themeTint="99"/>
              <w:right w:val="nil"/>
            </w:tcBorders>
            <w:shd w:val="clear" w:color="auto" w:fill="auto"/>
            <w:vAlign w:val="center"/>
          </w:tcPr>
          <w:p w14:paraId="69DC6CAB" w14:textId="77777777" w:rsidR="004353DF" w:rsidRPr="0053265D" w:rsidRDefault="004353DF" w:rsidP="009F2A58">
            <w:pPr>
              <w:pStyle w:val="Table"/>
              <w:jc w:val="center"/>
              <w:rPr>
                <w:b/>
                <w:lang w:val="sr-Cyrl-CS"/>
              </w:rPr>
            </w:pPr>
          </w:p>
        </w:tc>
        <w:tc>
          <w:tcPr>
            <w:tcW w:w="651" w:type="pct"/>
            <w:vMerge/>
            <w:tcBorders>
              <w:top w:val="nil"/>
              <w:left w:val="nil"/>
              <w:bottom w:val="single" w:sz="18" w:space="0" w:color="548DD4" w:themeColor="text2" w:themeTint="99"/>
              <w:right w:val="nil"/>
            </w:tcBorders>
            <w:shd w:val="clear" w:color="auto" w:fill="auto"/>
            <w:vAlign w:val="center"/>
          </w:tcPr>
          <w:p w14:paraId="4841DD86" w14:textId="77777777" w:rsidR="004353DF" w:rsidRPr="0053265D" w:rsidRDefault="004353DF" w:rsidP="009F2A58">
            <w:pPr>
              <w:pStyle w:val="Table"/>
              <w:jc w:val="center"/>
              <w:rPr>
                <w:b/>
                <w:lang w:val="sr-Cyrl-CS"/>
              </w:rPr>
            </w:pPr>
          </w:p>
        </w:tc>
        <w:tc>
          <w:tcPr>
            <w:tcW w:w="668" w:type="pct"/>
            <w:tcBorders>
              <w:top w:val="nil"/>
              <w:left w:val="nil"/>
              <w:bottom w:val="single" w:sz="18" w:space="0" w:color="548DD4" w:themeColor="text2" w:themeTint="99"/>
              <w:right w:val="nil"/>
            </w:tcBorders>
            <w:shd w:val="clear" w:color="auto" w:fill="auto"/>
            <w:vAlign w:val="center"/>
          </w:tcPr>
          <w:p w14:paraId="21DC2BC2" w14:textId="77777777" w:rsidR="004353DF" w:rsidRPr="0053265D" w:rsidRDefault="004353DF" w:rsidP="009F2A58">
            <w:pPr>
              <w:pStyle w:val="Table"/>
              <w:jc w:val="center"/>
              <w:rPr>
                <w:b/>
                <w:lang w:val="sr-Cyrl-CS"/>
              </w:rPr>
            </w:pPr>
            <w:r w:rsidRPr="0053265D">
              <w:rPr>
                <w:b/>
                <w:lang w:val="sr-Cyrl-CS"/>
              </w:rPr>
              <w:t>прије преузимања</w:t>
            </w:r>
          </w:p>
        </w:tc>
        <w:tc>
          <w:tcPr>
            <w:tcW w:w="673" w:type="pct"/>
            <w:tcBorders>
              <w:top w:val="nil"/>
              <w:left w:val="nil"/>
              <w:bottom w:val="single" w:sz="18" w:space="0" w:color="548DD4" w:themeColor="text2" w:themeTint="99"/>
              <w:right w:val="single" w:sz="2" w:space="0" w:color="548DD4" w:themeColor="text2" w:themeTint="99"/>
            </w:tcBorders>
            <w:shd w:val="clear" w:color="auto" w:fill="auto"/>
            <w:vAlign w:val="center"/>
          </w:tcPr>
          <w:p w14:paraId="16876F4C" w14:textId="77777777" w:rsidR="004353DF" w:rsidRPr="0053265D" w:rsidRDefault="004353DF" w:rsidP="009F2A58">
            <w:pPr>
              <w:pStyle w:val="Table"/>
              <w:jc w:val="center"/>
              <w:rPr>
                <w:b/>
                <w:lang w:val="sr-Cyrl-CS"/>
              </w:rPr>
            </w:pPr>
            <w:r w:rsidRPr="0053265D">
              <w:rPr>
                <w:b/>
                <w:lang w:val="sr-Cyrl-CS"/>
              </w:rPr>
              <w:t>након преузимања</w:t>
            </w:r>
          </w:p>
        </w:tc>
      </w:tr>
      <w:tr w:rsidR="004353DF" w:rsidRPr="0053265D" w14:paraId="79F01058" w14:textId="77777777" w:rsidTr="004353DF">
        <w:trPr>
          <w:trHeight w:val="399"/>
        </w:trPr>
        <w:tc>
          <w:tcPr>
            <w:tcW w:w="5000" w:type="pct"/>
            <w:gridSpan w:val="7"/>
            <w:tcBorders>
              <w:top w:val="single" w:sz="18" w:space="0" w:color="548DD4" w:themeColor="text2" w:themeTint="99"/>
            </w:tcBorders>
            <w:shd w:val="clear" w:color="auto" w:fill="auto"/>
            <w:vAlign w:val="center"/>
          </w:tcPr>
          <w:p w14:paraId="03AC095E" w14:textId="77777777" w:rsidR="004353DF" w:rsidRPr="0053265D" w:rsidRDefault="004353DF" w:rsidP="009F2A58">
            <w:pPr>
              <w:pStyle w:val="Table"/>
              <w:jc w:val="center"/>
              <w:rPr>
                <w:b/>
                <w:lang w:val="sr-Cyrl-CS"/>
              </w:rPr>
            </w:pPr>
            <w:r w:rsidRPr="0053265D">
              <w:rPr>
                <w:b/>
                <w:lang w:val="sr-Cyrl-CS"/>
              </w:rPr>
              <w:t>Понудилац стекао преко 75% власништва емитента</w:t>
            </w:r>
          </w:p>
        </w:tc>
      </w:tr>
      <w:tr w:rsidR="004353DF" w:rsidRPr="0053265D" w14:paraId="27F53056" w14:textId="77777777" w:rsidTr="004353DF">
        <w:trPr>
          <w:trHeight w:val="503"/>
        </w:trPr>
        <w:tc>
          <w:tcPr>
            <w:tcW w:w="261" w:type="pct"/>
            <w:shd w:val="clear" w:color="auto" w:fill="auto"/>
            <w:vAlign w:val="center"/>
          </w:tcPr>
          <w:p w14:paraId="09AFFED3"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1.</w:t>
            </w:r>
          </w:p>
        </w:tc>
        <w:tc>
          <w:tcPr>
            <w:tcW w:w="1092" w:type="pct"/>
            <w:shd w:val="clear" w:color="auto" w:fill="auto"/>
            <w:vAlign w:val="center"/>
          </w:tcPr>
          <w:p w14:paraId="3FCFAC0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„Метално“ а.д. Зворник</w:t>
            </w:r>
          </w:p>
        </w:tc>
        <w:tc>
          <w:tcPr>
            <w:tcW w:w="602" w:type="pct"/>
            <w:shd w:val="clear" w:color="auto" w:fill="auto"/>
            <w:vAlign w:val="center"/>
          </w:tcPr>
          <w:p w14:paraId="1D08994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10.779.609</w:t>
            </w:r>
          </w:p>
        </w:tc>
        <w:tc>
          <w:tcPr>
            <w:tcW w:w="1053" w:type="pct"/>
            <w:shd w:val="clear" w:color="auto" w:fill="auto"/>
            <w:vAlign w:val="bottom"/>
          </w:tcPr>
          <w:p w14:paraId="6DEC62B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„Јокић-инвест“ д.о.о. Зворник</w:t>
            </w:r>
          </w:p>
        </w:tc>
        <w:tc>
          <w:tcPr>
            <w:tcW w:w="651" w:type="pct"/>
            <w:shd w:val="clear" w:color="auto" w:fill="auto"/>
            <w:vAlign w:val="bottom"/>
          </w:tcPr>
          <w:p w14:paraId="2093522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0,276 КМ</w:t>
            </w:r>
          </w:p>
        </w:tc>
        <w:tc>
          <w:tcPr>
            <w:tcW w:w="668" w:type="pct"/>
            <w:shd w:val="clear" w:color="auto" w:fill="auto"/>
            <w:noWrap/>
            <w:vAlign w:val="bottom"/>
          </w:tcPr>
          <w:p w14:paraId="4EC490F1"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69,9746%</w:t>
            </w:r>
          </w:p>
        </w:tc>
        <w:tc>
          <w:tcPr>
            <w:tcW w:w="673" w:type="pct"/>
            <w:shd w:val="clear" w:color="auto" w:fill="auto"/>
            <w:noWrap/>
            <w:vAlign w:val="bottom"/>
          </w:tcPr>
          <w:p w14:paraId="65F94C68"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82,4179%</w:t>
            </w:r>
          </w:p>
        </w:tc>
      </w:tr>
      <w:tr w:rsidR="004353DF" w:rsidRPr="0053265D" w14:paraId="4B4DC318" w14:textId="77777777" w:rsidTr="004353DF">
        <w:trPr>
          <w:trHeight w:val="503"/>
        </w:trPr>
        <w:tc>
          <w:tcPr>
            <w:tcW w:w="261" w:type="pct"/>
            <w:shd w:val="clear" w:color="auto" w:fill="auto"/>
            <w:vAlign w:val="center"/>
          </w:tcPr>
          <w:p w14:paraId="044C2511"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2.</w:t>
            </w:r>
          </w:p>
        </w:tc>
        <w:tc>
          <w:tcPr>
            <w:tcW w:w="1092" w:type="pct"/>
            <w:shd w:val="clear" w:color="auto" w:fill="auto"/>
            <w:vAlign w:val="center"/>
          </w:tcPr>
          <w:p w14:paraId="7836BE2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„Дуван“ а.д. Бијељина</w:t>
            </w:r>
          </w:p>
        </w:tc>
        <w:tc>
          <w:tcPr>
            <w:tcW w:w="602" w:type="pct"/>
            <w:shd w:val="clear" w:color="auto" w:fill="auto"/>
            <w:vAlign w:val="center"/>
          </w:tcPr>
          <w:p w14:paraId="6729310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1.485.402</w:t>
            </w:r>
          </w:p>
        </w:tc>
        <w:tc>
          <w:tcPr>
            <w:tcW w:w="1053" w:type="pct"/>
            <w:shd w:val="clear" w:color="auto" w:fill="auto"/>
            <w:vAlign w:val="bottom"/>
          </w:tcPr>
          <w:p w14:paraId="324BFF7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Михајловић Светозар</w:t>
            </w:r>
          </w:p>
        </w:tc>
        <w:tc>
          <w:tcPr>
            <w:tcW w:w="651" w:type="pct"/>
            <w:shd w:val="clear" w:color="auto" w:fill="auto"/>
            <w:vAlign w:val="bottom"/>
          </w:tcPr>
          <w:p w14:paraId="28944B1A"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0,215 КМ</w:t>
            </w:r>
          </w:p>
        </w:tc>
        <w:tc>
          <w:tcPr>
            <w:tcW w:w="668" w:type="pct"/>
            <w:shd w:val="clear" w:color="auto" w:fill="auto"/>
            <w:noWrap/>
            <w:vAlign w:val="bottom"/>
          </w:tcPr>
          <w:p w14:paraId="5C11FA3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29,9981%</w:t>
            </w:r>
          </w:p>
        </w:tc>
        <w:tc>
          <w:tcPr>
            <w:tcW w:w="673" w:type="pct"/>
            <w:shd w:val="clear" w:color="auto" w:fill="auto"/>
            <w:noWrap/>
            <w:vAlign w:val="bottom"/>
          </w:tcPr>
          <w:p w14:paraId="38B9CF2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78,5562%</w:t>
            </w:r>
          </w:p>
        </w:tc>
      </w:tr>
      <w:tr w:rsidR="004353DF" w:rsidRPr="0053265D" w14:paraId="100D92A6" w14:textId="77777777" w:rsidTr="004353DF">
        <w:trPr>
          <w:trHeight w:val="503"/>
        </w:trPr>
        <w:tc>
          <w:tcPr>
            <w:tcW w:w="261" w:type="pct"/>
            <w:shd w:val="clear" w:color="auto" w:fill="auto"/>
            <w:vAlign w:val="center"/>
          </w:tcPr>
          <w:p w14:paraId="01425015"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3.</w:t>
            </w:r>
          </w:p>
        </w:tc>
        <w:tc>
          <w:tcPr>
            <w:tcW w:w="1092" w:type="pct"/>
            <w:shd w:val="clear" w:color="auto" w:fill="auto"/>
            <w:vAlign w:val="center"/>
          </w:tcPr>
          <w:p w14:paraId="6806D95E"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РК „Боска“ а.д. Бијељина</w:t>
            </w:r>
          </w:p>
        </w:tc>
        <w:tc>
          <w:tcPr>
            <w:tcW w:w="602" w:type="pct"/>
            <w:shd w:val="clear" w:color="auto" w:fill="auto"/>
            <w:vAlign w:val="center"/>
          </w:tcPr>
          <w:p w14:paraId="69CDDDA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22.886.599</w:t>
            </w:r>
          </w:p>
        </w:tc>
        <w:tc>
          <w:tcPr>
            <w:tcW w:w="1053" w:type="pct"/>
            <w:shd w:val="clear" w:color="auto" w:fill="auto"/>
            <w:vAlign w:val="bottom"/>
          </w:tcPr>
          <w:p w14:paraId="19BCB08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„Kaboss PRO“ д.о.о. Београд</w:t>
            </w:r>
          </w:p>
        </w:tc>
        <w:tc>
          <w:tcPr>
            <w:tcW w:w="651" w:type="pct"/>
            <w:shd w:val="clear" w:color="auto" w:fill="auto"/>
            <w:vAlign w:val="bottom"/>
          </w:tcPr>
          <w:p w14:paraId="76CBE2C2"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0,39 КМ</w:t>
            </w:r>
          </w:p>
        </w:tc>
        <w:tc>
          <w:tcPr>
            <w:tcW w:w="668" w:type="pct"/>
            <w:shd w:val="clear" w:color="auto" w:fill="auto"/>
            <w:noWrap/>
            <w:vAlign w:val="bottom"/>
          </w:tcPr>
          <w:p w14:paraId="06C7188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28,5792%</w:t>
            </w:r>
          </w:p>
        </w:tc>
        <w:tc>
          <w:tcPr>
            <w:tcW w:w="673" w:type="pct"/>
            <w:shd w:val="clear" w:color="auto" w:fill="auto"/>
            <w:noWrap/>
            <w:vAlign w:val="bottom"/>
          </w:tcPr>
          <w:p w14:paraId="1F04A3D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88,0472%</w:t>
            </w:r>
          </w:p>
        </w:tc>
      </w:tr>
      <w:tr w:rsidR="004353DF" w:rsidRPr="0053265D" w14:paraId="3A697AE9" w14:textId="77777777" w:rsidTr="004353DF">
        <w:trPr>
          <w:trHeight w:val="503"/>
        </w:trPr>
        <w:tc>
          <w:tcPr>
            <w:tcW w:w="261" w:type="pct"/>
            <w:shd w:val="clear" w:color="auto" w:fill="auto"/>
            <w:vAlign w:val="center"/>
          </w:tcPr>
          <w:p w14:paraId="73BF983C"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4.</w:t>
            </w:r>
          </w:p>
        </w:tc>
        <w:tc>
          <w:tcPr>
            <w:tcW w:w="1092" w:type="pct"/>
            <w:shd w:val="clear" w:color="auto" w:fill="auto"/>
            <w:vAlign w:val="center"/>
          </w:tcPr>
          <w:p w14:paraId="18401CE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„Херцеговинапуте-ви“ а.д. Требиње</w:t>
            </w:r>
          </w:p>
        </w:tc>
        <w:tc>
          <w:tcPr>
            <w:tcW w:w="602" w:type="pct"/>
            <w:shd w:val="clear" w:color="auto" w:fill="auto"/>
            <w:vAlign w:val="center"/>
          </w:tcPr>
          <w:p w14:paraId="6EA17AFE"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2.196.788</w:t>
            </w:r>
          </w:p>
        </w:tc>
        <w:tc>
          <w:tcPr>
            <w:tcW w:w="1053" w:type="pct"/>
            <w:shd w:val="clear" w:color="auto" w:fill="auto"/>
            <w:vAlign w:val="bottom"/>
          </w:tcPr>
          <w:p w14:paraId="43F8618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Шћеповић Милодраг</w:t>
            </w:r>
          </w:p>
        </w:tc>
        <w:tc>
          <w:tcPr>
            <w:tcW w:w="651" w:type="pct"/>
            <w:shd w:val="clear" w:color="auto" w:fill="auto"/>
            <w:vAlign w:val="bottom"/>
          </w:tcPr>
          <w:p w14:paraId="2AC155D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1,201 КМ</w:t>
            </w:r>
          </w:p>
        </w:tc>
        <w:tc>
          <w:tcPr>
            <w:tcW w:w="668" w:type="pct"/>
            <w:shd w:val="clear" w:color="auto" w:fill="auto"/>
            <w:noWrap/>
            <w:vAlign w:val="bottom"/>
          </w:tcPr>
          <w:p w14:paraId="56064FD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55,7211%</w:t>
            </w:r>
          </w:p>
        </w:tc>
        <w:tc>
          <w:tcPr>
            <w:tcW w:w="673" w:type="pct"/>
            <w:shd w:val="clear" w:color="auto" w:fill="auto"/>
            <w:noWrap/>
            <w:vAlign w:val="bottom"/>
          </w:tcPr>
          <w:p w14:paraId="4B313921"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78,6508%</w:t>
            </w:r>
          </w:p>
        </w:tc>
      </w:tr>
      <w:tr w:rsidR="004353DF" w:rsidRPr="0053265D" w14:paraId="502453D2" w14:textId="77777777" w:rsidTr="004353DF">
        <w:trPr>
          <w:trHeight w:val="503"/>
        </w:trPr>
        <w:tc>
          <w:tcPr>
            <w:tcW w:w="261" w:type="pct"/>
            <w:shd w:val="clear" w:color="auto" w:fill="auto"/>
            <w:vAlign w:val="center"/>
          </w:tcPr>
          <w:p w14:paraId="7B9D00E7"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5.</w:t>
            </w:r>
          </w:p>
        </w:tc>
        <w:tc>
          <w:tcPr>
            <w:tcW w:w="1092" w:type="pct"/>
            <w:shd w:val="clear" w:color="auto" w:fill="auto"/>
            <w:vAlign w:val="bottom"/>
          </w:tcPr>
          <w:p w14:paraId="513889F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„Велетрговина“ а.д. Градишка</w:t>
            </w:r>
          </w:p>
        </w:tc>
        <w:tc>
          <w:tcPr>
            <w:tcW w:w="602" w:type="pct"/>
            <w:shd w:val="clear" w:color="auto" w:fill="auto"/>
            <w:vAlign w:val="bottom"/>
          </w:tcPr>
          <w:p w14:paraId="01119FE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3.365.520</w:t>
            </w:r>
          </w:p>
        </w:tc>
        <w:tc>
          <w:tcPr>
            <w:tcW w:w="1053" w:type="pct"/>
            <w:shd w:val="clear" w:color="auto" w:fill="auto"/>
            <w:vAlign w:val="bottom"/>
          </w:tcPr>
          <w:p w14:paraId="1C2F115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Шљивар Дарко</w:t>
            </w:r>
          </w:p>
        </w:tc>
        <w:tc>
          <w:tcPr>
            <w:tcW w:w="651" w:type="pct"/>
            <w:shd w:val="clear" w:color="auto" w:fill="auto"/>
            <w:vAlign w:val="bottom"/>
          </w:tcPr>
          <w:p w14:paraId="54BA1771"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 xml:space="preserve">0,50 КМ </w:t>
            </w:r>
          </w:p>
        </w:tc>
        <w:tc>
          <w:tcPr>
            <w:tcW w:w="668" w:type="pct"/>
            <w:shd w:val="clear" w:color="auto" w:fill="auto"/>
            <w:noWrap/>
            <w:vAlign w:val="bottom"/>
          </w:tcPr>
          <w:p w14:paraId="02223CA8"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55,9850</w:t>
            </w:r>
          </w:p>
        </w:tc>
        <w:tc>
          <w:tcPr>
            <w:tcW w:w="673" w:type="pct"/>
            <w:shd w:val="clear" w:color="auto" w:fill="auto"/>
            <w:noWrap/>
            <w:vAlign w:val="bottom"/>
          </w:tcPr>
          <w:p w14:paraId="767DB8B8"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77,42%</w:t>
            </w:r>
          </w:p>
        </w:tc>
      </w:tr>
      <w:tr w:rsidR="004353DF" w:rsidRPr="0053265D" w14:paraId="3996B37D" w14:textId="77777777" w:rsidTr="004353DF">
        <w:trPr>
          <w:trHeight w:val="503"/>
        </w:trPr>
        <w:tc>
          <w:tcPr>
            <w:tcW w:w="5000" w:type="pct"/>
            <w:gridSpan w:val="7"/>
            <w:shd w:val="clear" w:color="auto" w:fill="auto"/>
            <w:vAlign w:val="center"/>
          </w:tcPr>
          <w:p w14:paraId="1CB07C21" w14:textId="77777777" w:rsidR="004353DF" w:rsidRPr="0053265D" w:rsidRDefault="004353DF" w:rsidP="009F2A58">
            <w:pPr>
              <w:spacing w:before="0" w:after="0" w:line="240" w:lineRule="auto"/>
              <w:ind w:firstLine="0"/>
              <w:jc w:val="center"/>
              <w:rPr>
                <w:sz w:val="20"/>
                <w:szCs w:val="20"/>
                <w:lang w:val="sr-Cyrl-CS"/>
              </w:rPr>
            </w:pPr>
            <w:r w:rsidRPr="0053265D">
              <w:rPr>
                <w:b/>
                <w:sz w:val="20"/>
                <w:szCs w:val="20"/>
                <w:lang w:val="sr-Cyrl-CS"/>
              </w:rPr>
              <w:t>Понудилац стекао мање од 75% власништва емитента</w:t>
            </w:r>
          </w:p>
        </w:tc>
      </w:tr>
      <w:tr w:rsidR="004353DF" w:rsidRPr="0053265D" w14:paraId="78B804CD" w14:textId="77777777" w:rsidTr="004353DF">
        <w:trPr>
          <w:trHeight w:val="503"/>
        </w:trPr>
        <w:tc>
          <w:tcPr>
            <w:tcW w:w="261" w:type="pct"/>
            <w:shd w:val="clear" w:color="auto" w:fill="auto"/>
            <w:vAlign w:val="center"/>
          </w:tcPr>
          <w:p w14:paraId="65709069"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6.</w:t>
            </w:r>
          </w:p>
        </w:tc>
        <w:tc>
          <w:tcPr>
            <w:tcW w:w="1092" w:type="pct"/>
            <w:shd w:val="clear" w:color="auto" w:fill="auto"/>
            <w:vAlign w:val="bottom"/>
          </w:tcPr>
          <w:p w14:paraId="2A60E95B"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„Енергоинвест аутоматика“ а.д. Источно Сарајево</w:t>
            </w:r>
          </w:p>
        </w:tc>
        <w:tc>
          <w:tcPr>
            <w:tcW w:w="602" w:type="pct"/>
            <w:shd w:val="clear" w:color="auto" w:fill="auto"/>
            <w:vAlign w:val="bottom"/>
          </w:tcPr>
          <w:p w14:paraId="62E52066"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683.050</w:t>
            </w:r>
          </w:p>
        </w:tc>
        <w:tc>
          <w:tcPr>
            <w:tcW w:w="1053" w:type="pct"/>
            <w:shd w:val="clear" w:color="auto" w:fill="auto"/>
            <w:vAlign w:val="bottom"/>
          </w:tcPr>
          <w:p w14:paraId="0B18C8D1"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„N Trade” д.о.о. Источно Сарајево</w:t>
            </w:r>
          </w:p>
        </w:tc>
        <w:tc>
          <w:tcPr>
            <w:tcW w:w="651" w:type="pct"/>
            <w:shd w:val="clear" w:color="auto" w:fill="auto"/>
            <w:vAlign w:val="bottom"/>
          </w:tcPr>
          <w:p w14:paraId="50DCB2A5"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0,26 KM</w:t>
            </w:r>
          </w:p>
        </w:tc>
        <w:tc>
          <w:tcPr>
            <w:tcW w:w="668" w:type="pct"/>
            <w:shd w:val="clear" w:color="auto" w:fill="auto"/>
            <w:noWrap/>
            <w:vAlign w:val="bottom"/>
          </w:tcPr>
          <w:p w14:paraId="3DBE510A"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36,3907%</w:t>
            </w:r>
          </w:p>
        </w:tc>
        <w:tc>
          <w:tcPr>
            <w:tcW w:w="673" w:type="pct"/>
            <w:shd w:val="clear" w:color="auto" w:fill="auto"/>
            <w:noWrap/>
            <w:vAlign w:val="bottom"/>
          </w:tcPr>
          <w:p w14:paraId="4937B21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51,8351%</w:t>
            </w:r>
          </w:p>
        </w:tc>
      </w:tr>
      <w:tr w:rsidR="004353DF" w:rsidRPr="0053265D" w14:paraId="40B0949A" w14:textId="77777777" w:rsidTr="004353DF">
        <w:trPr>
          <w:trHeight w:val="503"/>
        </w:trPr>
        <w:tc>
          <w:tcPr>
            <w:tcW w:w="261" w:type="pct"/>
            <w:shd w:val="clear" w:color="auto" w:fill="auto"/>
            <w:vAlign w:val="center"/>
          </w:tcPr>
          <w:p w14:paraId="469D349E"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7.</w:t>
            </w:r>
          </w:p>
        </w:tc>
        <w:tc>
          <w:tcPr>
            <w:tcW w:w="1092" w:type="pct"/>
            <w:shd w:val="clear" w:color="auto" w:fill="auto"/>
            <w:vAlign w:val="bottom"/>
          </w:tcPr>
          <w:p w14:paraId="17F86CE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„Сокочница“ а.д. Шипово</w:t>
            </w:r>
          </w:p>
        </w:tc>
        <w:tc>
          <w:tcPr>
            <w:tcW w:w="602" w:type="pct"/>
            <w:shd w:val="clear" w:color="auto" w:fill="auto"/>
            <w:vAlign w:val="bottom"/>
          </w:tcPr>
          <w:p w14:paraId="307611F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2.970.795</w:t>
            </w:r>
          </w:p>
        </w:tc>
        <w:tc>
          <w:tcPr>
            <w:tcW w:w="1053" w:type="pct"/>
            <w:shd w:val="clear" w:color="auto" w:fill="auto"/>
            <w:vAlign w:val="bottom"/>
          </w:tcPr>
          <w:p w14:paraId="3C9CE25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Марко Савовић</w:t>
            </w:r>
          </w:p>
        </w:tc>
        <w:tc>
          <w:tcPr>
            <w:tcW w:w="651" w:type="pct"/>
            <w:shd w:val="clear" w:color="auto" w:fill="auto"/>
            <w:vAlign w:val="bottom"/>
          </w:tcPr>
          <w:p w14:paraId="69A4E04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0,916 КМ</w:t>
            </w:r>
          </w:p>
        </w:tc>
        <w:tc>
          <w:tcPr>
            <w:tcW w:w="668" w:type="pct"/>
            <w:shd w:val="clear" w:color="auto" w:fill="auto"/>
            <w:noWrap/>
            <w:vAlign w:val="bottom"/>
          </w:tcPr>
          <w:p w14:paraId="753BE89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53,9803%</w:t>
            </w:r>
          </w:p>
        </w:tc>
        <w:tc>
          <w:tcPr>
            <w:tcW w:w="673" w:type="pct"/>
            <w:shd w:val="clear" w:color="auto" w:fill="auto"/>
            <w:noWrap/>
            <w:vAlign w:val="bottom"/>
          </w:tcPr>
          <w:p w14:paraId="1657C86C"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55,6635%</w:t>
            </w:r>
          </w:p>
        </w:tc>
      </w:tr>
      <w:tr w:rsidR="004353DF" w:rsidRPr="0053265D" w14:paraId="65480E32" w14:textId="77777777" w:rsidTr="004353DF">
        <w:trPr>
          <w:trHeight w:val="503"/>
        </w:trPr>
        <w:tc>
          <w:tcPr>
            <w:tcW w:w="261" w:type="pct"/>
            <w:shd w:val="clear" w:color="auto" w:fill="auto"/>
            <w:vAlign w:val="center"/>
          </w:tcPr>
          <w:p w14:paraId="5141A8B8" w14:textId="77777777" w:rsidR="004353DF" w:rsidRPr="0053265D" w:rsidRDefault="004353DF" w:rsidP="009F2A58">
            <w:pPr>
              <w:spacing w:before="0" w:after="0" w:line="240" w:lineRule="auto"/>
              <w:ind w:firstLine="0"/>
              <w:jc w:val="center"/>
              <w:rPr>
                <w:sz w:val="20"/>
                <w:szCs w:val="20"/>
                <w:lang w:val="sr-Cyrl-CS" w:eastAsia="bs-Latn-BA"/>
              </w:rPr>
            </w:pPr>
            <w:r w:rsidRPr="0053265D">
              <w:rPr>
                <w:sz w:val="20"/>
                <w:szCs w:val="20"/>
                <w:lang w:val="sr-Cyrl-CS" w:eastAsia="bs-Latn-BA"/>
              </w:rPr>
              <w:t>8.</w:t>
            </w:r>
          </w:p>
        </w:tc>
        <w:tc>
          <w:tcPr>
            <w:tcW w:w="1092" w:type="pct"/>
            <w:shd w:val="clear" w:color="auto" w:fill="auto"/>
            <w:vAlign w:val="bottom"/>
          </w:tcPr>
          <w:p w14:paraId="5EF26D5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„Крајина осигурање“ а.д. Бања Лука</w:t>
            </w:r>
          </w:p>
        </w:tc>
        <w:tc>
          <w:tcPr>
            <w:tcW w:w="602" w:type="pct"/>
            <w:shd w:val="clear" w:color="auto" w:fill="auto"/>
            <w:vAlign w:val="bottom"/>
          </w:tcPr>
          <w:p w14:paraId="15597BEC"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 xml:space="preserve">8.730.000 </w:t>
            </w:r>
          </w:p>
        </w:tc>
        <w:tc>
          <w:tcPr>
            <w:tcW w:w="1053" w:type="pct"/>
            <w:shd w:val="clear" w:color="auto" w:fill="auto"/>
            <w:vAlign w:val="bottom"/>
          </w:tcPr>
          <w:p w14:paraId="24F3D3FE"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„Приједорпутеви“ а.д. Приједор</w:t>
            </w:r>
          </w:p>
        </w:tc>
        <w:tc>
          <w:tcPr>
            <w:tcW w:w="651" w:type="pct"/>
            <w:shd w:val="clear" w:color="auto" w:fill="auto"/>
            <w:vAlign w:val="bottom"/>
          </w:tcPr>
          <w:p w14:paraId="39188726"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0,414 км</w:t>
            </w:r>
          </w:p>
        </w:tc>
        <w:tc>
          <w:tcPr>
            <w:tcW w:w="668" w:type="pct"/>
            <w:shd w:val="clear" w:color="auto" w:fill="auto"/>
            <w:noWrap/>
            <w:vAlign w:val="bottom"/>
          </w:tcPr>
          <w:p w14:paraId="7D05886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68,222</w:t>
            </w:r>
            <w:r w:rsidRPr="0053265D">
              <w:rPr>
                <w:sz w:val="20"/>
                <w:szCs w:val="20"/>
                <w:lang w:val="sr-Latn-BA"/>
              </w:rPr>
              <w:t>7</w:t>
            </w:r>
            <w:r w:rsidRPr="0053265D">
              <w:rPr>
                <w:sz w:val="20"/>
                <w:szCs w:val="20"/>
                <w:lang w:val="sr-Cyrl-CS"/>
              </w:rPr>
              <w:t>%</w:t>
            </w:r>
          </w:p>
        </w:tc>
        <w:tc>
          <w:tcPr>
            <w:tcW w:w="673" w:type="pct"/>
            <w:shd w:val="clear" w:color="auto" w:fill="auto"/>
            <w:noWrap/>
            <w:vAlign w:val="bottom"/>
          </w:tcPr>
          <w:p w14:paraId="584EE22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68,25%</w:t>
            </w:r>
          </w:p>
        </w:tc>
      </w:tr>
      <w:tr w:rsidR="004353DF" w:rsidRPr="0053265D" w14:paraId="2540D64C" w14:textId="77777777" w:rsidTr="004353DF">
        <w:trPr>
          <w:trHeight w:val="503"/>
        </w:trPr>
        <w:tc>
          <w:tcPr>
            <w:tcW w:w="5000" w:type="pct"/>
            <w:gridSpan w:val="7"/>
            <w:shd w:val="clear" w:color="auto" w:fill="auto"/>
            <w:vAlign w:val="center"/>
          </w:tcPr>
          <w:p w14:paraId="18558E4D" w14:textId="77777777" w:rsidR="004353DF" w:rsidRPr="0053265D" w:rsidRDefault="004353DF" w:rsidP="009F2A58">
            <w:pPr>
              <w:pStyle w:val="Table"/>
              <w:jc w:val="center"/>
              <w:rPr>
                <w:b/>
                <w:lang w:val="sr-Cyrl-CS"/>
              </w:rPr>
            </w:pPr>
            <w:r w:rsidRPr="0053265D">
              <w:rPr>
                <w:b/>
                <w:lang w:val="sr-Cyrl-CS"/>
              </w:rPr>
              <w:t>Понудилац и лица која заједнички дјелују са понудиоцем, стекли више од 75 % власништва емитента</w:t>
            </w:r>
          </w:p>
        </w:tc>
      </w:tr>
      <w:tr w:rsidR="004353DF" w:rsidRPr="0053265D" w14:paraId="762335E4" w14:textId="77777777" w:rsidTr="004353DF">
        <w:trPr>
          <w:trHeight w:val="180"/>
        </w:trPr>
        <w:tc>
          <w:tcPr>
            <w:tcW w:w="261" w:type="pct"/>
            <w:vMerge w:val="restart"/>
            <w:shd w:val="clear" w:color="auto" w:fill="auto"/>
            <w:vAlign w:val="center"/>
          </w:tcPr>
          <w:p w14:paraId="4369EF89" w14:textId="77777777" w:rsidR="004353DF" w:rsidRPr="0053265D" w:rsidRDefault="004353DF" w:rsidP="009F2A58">
            <w:pPr>
              <w:spacing w:before="0" w:after="0" w:line="240" w:lineRule="auto"/>
              <w:jc w:val="center"/>
              <w:rPr>
                <w:sz w:val="20"/>
                <w:szCs w:val="20"/>
                <w:lang w:val="sr-Cyrl-CS" w:eastAsia="bs-Latn-BA"/>
              </w:rPr>
            </w:pPr>
            <w:r w:rsidRPr="0053265D">
              <w:rPr>
                <w:sz w:val="20"/>
                <w:szCs w:val="20"/>
                <w:lang w:val="sr-Cyrl-CS" w:eastAsia="bs-Latn-BA"/>
              </w:rPr>
              <w:t>79.</w:t>
            </w:r>
          </w:p>
        </w:tc>
        <w:tc>
          <w:tcPr>
            <w:tcW w:w="1092" w:type="pct"/>
            <w:vMerge w:val="restart"/>
            <w:shd w:val="clear" w:color="auto" w:fill="auto"/>
            <w:vAlign w:val="center"/>
          </w:tcPr>
          <w:p w14:paraId="5217310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 xml:space="preserve">„Јапра“ а.д. Нови Град   </w:t>
            </w:r>
          </w:p>
        </w:tc>
        <w:tc>
          <w:tcPr>
            <w:tcW w:w="602" w:type="pct"/>
            <w:vMerge w:val="restart"/>
            <w:shd w:val="clear" w:color="auto" w:fill="auto"/>
            <w:vAlign w:val="center"/>
          </w:tcPr>
          <w:p w14:paraId="5EC01C8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8.298.749</w:t>
            </w:r>
          </w:p>
        </w:tc>
        <w:tc>
          <w:tcPr>
            <w:tcW w:w="1053" w:type="pct"/>
            <w:shd w:val="clear" w:color="auto" w:fill="auto"/>
          </w:tcPr>
          <w:p w14:paraId="0B142C9C"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„Приједорпутеви“ а.д. Приједор</w:t>
            </w:r>
          </w:p>
        </w:tc>
        <w:tc>
          <w:tcPr>
            <w:tcW w:w="651" w:type="pct"/>
            <w:vMerge w:val="restart"/>
            <w:shd w:val="clear" w:color="auto" w:fill="auto"/>
            <w:vAlign w:val="center"/>
          </w:tcPr>
          <w:p w14:paraId="200018EB"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0,309 KM</w:t>
            </w:r>
          </w:p>
          <w:p w14:paraId="3EC8A459"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3255ADEB"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30,498</w:t>
            </w:r>
            <w:r w:rsidRPr="0053265D">
              <w:rPr>
                <w:sz w:val="20"/>
                <w:szCs w:val="20"/>
                <w:lang w:val="sr-Latn-BA"/>
              </w:rPr>
              <w:t>7</w:t>
            </w:r>
            <w:r w:rsidRPr="0053265D">
              <w:rPr>
                <w:sz w:val="20"/>
                <w:szCs w:val="20"/>
                <w:lang w:val="sr-Cyrl-CS"/>
              </w:rPr>
              <w:t>%</w:t>
            </w:r>
          </w:p>
        </w:tc>
        <w:tc>
          <w:tcPr>
            <w:tcW w:w="673" w:type="pct"/>
            <w:shd w:val="clear" w:color="auto" w:fill="auto"/>
            <w:noWrap/>
            <w:vAlign w:val="bottom"/>
          </w:tcPr>
          <w:p w14:paraId="1BFDE412" w14:textId="77777777" w:rsidR="004353DF" w:rsidRPr="0053265D" w:rsidRDefault="004353DF" w:rsidP="009F2A58">
            <w:pPr>
              <w:spacing w:before="0" w:after="0" w:line="240" w:lineRule="auto"/>
              <w:ind w:firstLine="0"/>
              <w:jc w:val="center"/>
              <w:rPr>
                <w:sz w:val="20"/>
                <w:szCs w:val="20"/>
                <w:lang w:val="sr-Latn-BA"/>
              </w:rPr>
            </w:pPr>
            <w:r w:rsidRPr="0053265D">
              <w:rPr>
                <w:sz w:val="20"/>
                <w:szCs w:val="20"/>
                <w:lang w:val="sr-Cyrl-CS"/>
              </w:rPr>
              <w:t>30,4987</w:t>
            </w:r>
            <w:r w:rsidRPr="0053265D">
              <w:rPr>
                <w:sz w:val="20"/>
                <w:szCs w:val="20"/>
                <w:lang w:val="sr-Latn-BA"/>
              </w:rPr>
              <w:t>%</w:t>
            </w:r>
          </w:p>
        </w:tc>
      </w:tr>
      <w:tr w:rsidR="004353DF" w:rsidRPr="0053265D" w14:paraId="5CF5696B" w14:textId="77777777" w:rsidTr="004353DF">
        <w:trPr>
          <w:trHeight w:val="180"/>
        </w:trPr>
        <w:tc>
          <w:tcPr>
            <w:tcW w:w="261" w:type="pct"/>
            <w:vMerge/>
            <w:shd w:val="clear" w:color="auto" w:fill="auto"/>
            <w:vAlign w:val="center"/>
          </w:tcPr>
          <w:p w14:paraId="3FD7643D" w14:textId="77777777" w:rsidR="004353DF" w:rsidRPr="0053265D" w:rsidRDefault="004353DF" w:rsidP="009F2A58">
            <w:pPr>
              <w:spacing w:before="0" w:after="0" w:line="240" w:lineRule="auto"/>
              <w:jc w:val="center"/>
              <w:rPr>
                <w:sz w:val="20"/>
                <w:szCs w:val="20"/>
                <w:lang w:val="sr-Cyrl-CS" w:eastAsia="bs-Latn-BA"/>
              </w:rPr>
            </w:pPr>
          </w:p>
        </w:tc>
        <w:tc>
          <w:tcPr>
            <w:tcW w:w="1092" w:type="pct"/>
            <w:vMerge/>
            <w:shd w:val="clear" w:color="auto" w:fill="auto"/>
            <w:vAlign w:val="center"/>
          </w:tcPr>
          <w:p w14:paraId="452D4E1A" w14:textId="77777777" w:rsidR="004353DF" w:rsidRPr="0053265D" w:rsidRDefault="004353DF" w:rsidP="009F2A58">
            <w:pPr>
              <w:spacing w:before="0" w:after="0" w:line="240" w:lineRule="auto"/>
              <w:ind w:firstLine="0"/>
              <w:jc w:val="center"/>
              <w:rPr>
                <w:sz w:val="20"/>
                <w:szCs w:val="20"/>
                <w:lang w:val="sr-Cyrl-CS"/>
              </w:rPr>
            </w:pPr>
          </w:p>
        </w:tc>
        <w:tc>
          <w:tcPr>
            <w:tcW w:w="602" w:type="pct"/>
            <w:vMerge/>
            <w:shd w:val="clear" w:color="auto" w:fill="auto"/>
            <w:vAlign w:val="center"/>
          </w:tcPr>
          <w:p w14:paraId="761A2265" w14:textId="77777777" w:rsidR="004353DF" w:rsidRPr="0053265D" w:rsidRDefault="004353DF" w:rsidP="009F2A58">
            <w:pPr>
              <w:spacing w:before="0" w:after="0" w:line="240" w:lineRule="auto"/>
              <w:ind w:firstLine="0"/>
              <w:jc w:val="center"/>
              <w:rPr>
                <w:sz w:val="20"/>
                <w:szCs w:val="20"/>
                <w:lang w:val="sr-Cyrl-CS"/>
              </w:rPr>
            </w:pPr>
          </w:p>
        </w:tc>
        <w:tc>
          <w:tcPr>
            <w:tcW w:w="1053" w:type="pct"/>
            <w:shd w:val="clear" w:color="auto" w:fill="auto"/>
            <w:vAlign w:val="bottom"/>
          </w:tcPr>
          <w:p w14:paraId="63A66C8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Чорокало Драган</w:t>
            </w:r>
          </w:p>
        </w:tc>
        <w:tc>
          <w:tcPr>
            <w:tcW w:w="651" w:type="pct"/>
            <w:vMerge/>
            <w:shd w:val="clear" w:color="auto" w:fill="auto"/>
            <w:vAlign w:val="center"/>
          </w:tcPr>
          <w:p w14:paraId="029F8B23"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3DA96162"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29,8267%</w:t>
            </w:r>
          </w:p>
        </w:tc>
        <w:tc>
          <w:tcPr>
            <w:tcW w:w="673" w:type="pct"/>
            <w:shd w:val="clear" w:color="auto" w:fill="auto"/>
            <w:noWrap/>
            <w:vAlign w:val="bottom"/>
          </w:tcPr>
          <w:p w14:paraId="2609B1C4" w14:textId="77777777" w:rsidR="004353DF" w:rsidRPr="0053265D" w:rsidRDefault="004353DF" w:rsidP="009F2A58">
            <w:pPr>
              <w:spacing w:before="0" w:after="0" w:line="240" w:lineRule="auto"/>
              <w:ind w:firstLine="0"/>
              <w:jc w:val="center"/>
              <w:rPr>
                <w:sz w:val="20"/>
                <w:szCs w:val="20"/>
                <w:lang w:val="sr-Latn-BA"/>
              </w:rPr>
            </w:pPr>
            <w:r w:rsidRPr="0053265D">
              <w:rPr>
                <w:sz w:val="20"/>
                <w:szCs w:val="20"/>
                <w:lang w:val="sr-Cyrl-CS"/>
              </w:rPr>
              <w:t>36,3256</w:t>
            </w:r>
            <w:r w:rsidRPr="0053265D">
              <w:rPr>
                <w:sz w:val="20"/>
                <w:szCs w:val="20"/>
                <w:lang w:val="sr-Latn-BA"/>
              </w:rPr>
              <w:t>%</w:t>
            </w:r>
          </w:p>
        </w:tc>
      </w:tr>
      <w:tr w:rsidR="004353DF" w:rsidRPr="0053265D" w14:paraId="21C172B9" w14:textId="77777777" w:rsidTr="004353DF">
        <w:trPr>
          <w:trHeight w:val="180"/>
        </w:trPr>
        <w:tc>
          <w:tcPr>
            <w:tcW w:w="261" w:type="pct"/>
            <w:vMerge/>
            <w:shd w:val="clear" w:color="auto" w:fill="auto"/>
            <w:vAlign w:val="center"/>
          </w:tcPr>
          <w:p w14:paraId="4DDA1712" w14:textId="77777777" w:rsidR="004353DF" w:rsidRPr="0053265D" w:rsidRDefault="004353DF" w:rsidP="009F2A58">
            <w:pPr>
              <w:spacing w:before="0" w:after="0" w:line="240" w:lineRule="auto"/>
              <w:jc w:val="center"/>
              <w:rPr>
                <w:sz w:val="20"/>
                <w:szCs w:val="20"/>
                <w:lang w:val="sr-Cyrl-CS" w:eastAsia="bs-Latn-BA"/>
              </w:rPr>
            </w:pPr>
          </w:p>
        </w:tc>
        <w:tc>
          <w:tcPr>
            <w:tcW w:w="1092" w:type="pct"/>
            <w:vMerge/>
            <w:shd w:val="clear" w:color="auto" w:fill="auto"/>
            <w:vAlign w:val="center"/>
          </w:tcPr>
          <w:p w14:paraId="42B3E847" w14:textId="77777777" w:rsidR="004353DF" w:rsidRPr="0053265D" w:rsidRDefault="004353DF" w:rsidP="009F2A58">
            <w:pPr>
              <w:spacing w:before="0" w:after="0" w:line="240" w:lineRule="auto"/>
              <w:ind w:firstLine="0"/>
              <w:jc w:val="center"/>
              <w:rPr>
                <w:sz w:val="20"/>
                <w:szCs w:val="20"/>
                <w:lang w:val="sr-Cyrl-CS"/>
              </w:rPr>
            </w:pPr>
          </w:p>
        </w:tc>
        <w:tc>
          <w:tcPr>
            <w:tcW w:w="602" w:type="pct"/>
            <w:vMerge/>
            <w:shd w:val="clear" w:color="auto" w:fill="auto"/>
            <w:vAlign w:val="center"/>
          </w:tcPr>
          <w:p w14:paraId="0AE2C45D" w14:textId="77777777" w:rsidR="004353DF" w:rsidRPr="0053265D" w:rsidRDefault="004353DF" w:rsidP="009F2A58">
            <w:pPr>
              <w:spacing w:before="0" w:after="0" w:line="240" w:lineRule="auto"/>
              <w:ind w:firstLine="0"/>
              <w:jc w:val="center"/>
              <w:rPr>
                <w:sz w:val="20"/>
                <w:szCs w:val="20"/>
                <w:lang w:val="sr-Cyrl-CS"/>
              </w:rPr>
            </w:pPr>
          </w:p>
        </w:tc>
        <w:tc>
          <w:tcPr>
            <w:tcW w:w="1053" w:type="pct"/>
            <w:shd w:val="clear" w:color="auto" w:fill="auto"/>
            <w:vAlign w:val="bottom"/>
          </w:tcPr>
          <w:p w14:paraId="3893CBB9"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Индустропројект а.д. Приједор</w:t>
            </w:r>
          </w:p>
        </w:tc>
        <w:tc>
          <w:tcPr>
            <w:tcW w:w="651" w:type="pct"/>
            <w:vMerge/>
            <w:shd w:val="clear" w:color="auto" w:fill="auto"/>
            <w:vAlign w:val="center"/>
          </w:tcPr>
          <w:p w14:paraId="18FB4AEE"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7B76545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29,0358%</w:t>
            </w:r>
          </w:p>
        </w:tc>
        <w:tc>
          <w:tcPr>
            <w:tcW w:w="673" w:type="pct"/>
            <w:shd w:val="clear" w:color="auto" w:fill="auto"/>
            <w:noWrap/>
            <w:vAlign w:val="bottom"/>
          </w:tcPr>
          <w:p w14:paraId="058D88B0" w14:textId="77777777" w:rsidR="004353DF" w:rsidRPr="0053265D" w:rsidRDefault="004353DF" w:rsidP="009F2A58">
            <w:pPr>
              <w:spacing w:before="0" w:after="0" w:line="240" w:lineRule="auto"/>
              <w:ind w:firstLine="0"/>
              <w:jc w:val="center"/>
              <w:rPr>
                <w:sz w:val="20"/>
                <w:szCs w:val="20"/>
                <w:lang w:val="sr-Latn-BA"/>
              </w:rPr>
            </w:pPr>
            <w:r w:rsidRPr="0053265D">
              <w:rPr>
                <w:sz w:val="20"/>
                <w:szCs w:val="20"/>
                <w:lang w:val="sr-Cyrl-CS"/>
              </w:rPr>
              <w:t>29,0358</w:t>
            </w:r>
            <w:r w:rsidRPr="0053265D">
              <w:rPr>
                <w:sz w:val="20"/>
                <w:szCs w:val="20"/>
                <w:lang w:val="sr-Latn-BA"/>
              </w:rPr>
              <w:t>%</w:t>
            </w:r>
          </w:p>
        </w:tc>
      </w:tr>
      <w:tr w:rsidR="004353DF" w:rsidRPr="0053265D" w14:paraId="1C9CB18B" w14:textId="77777777" w:rsidTr="004353DF">
        <w:trPr>
          <w:trHeight w:val="180"/>
        </w:trPr>
        <w:tc>
          <w:tcPr>
            <w:tcW w:w="261" w:type="pct"/>
            <w:vMerge w:val="restart"/>
            <w:shd w:val="clear" w:color="auto" w:fill="auto"/>
            <w:vAlign w:val="center"/>
          </w:tcPr>
          <w:p w14:paraId="155AF22F" w14:textId="77777777" w:rsidR="004353DF" w:rsidRPr="0053265D" w:rsidRDefault="004353DF" w:rsidP="009F2A58">
            <w:pPr>
              <w:spacing w:before="0" w:after="0" w:line="240" w:lineRule="auto"/>
              <w:ind w:firstLine="0"/>
              <w:rPr>
                <w:sz w:val="20"/>
                <w:szCs w:val="20"/>
                <w:lang w:val="sr-Cyrl-CS" w:eastAsia="bs-Latn-BA"/>
              </w:rPr>
            </w:pPr>
            <w:r w:rsidRPr="0053265D">
              <w:rPr>
                <w:sz w:val="20"/>
                <w:szCs w:val="20"/>
                <w:lang w:val="sr-Cyrl-CS" w:eastAsia="bs-Latn-BA"/>
              </w:rPr>
              <w:t>10.</w:t>
            </w:r>
          </w:p>
        </w:tc>
        <w:tc>
          <w:tcPr>
            <w:tcW w:w="1092" w:type="pct"/>
            <w:vMerge w:val="restart"/>
            <w:shd w:val="clear" w:color="auto" w:fill="auto"/>
            <w:vAlign w:val="center"/>
          </w:tcPr>
          <w:p w14:paraId="5D09B9C8"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Latn-BA"/>
              </w:rPr>
              <w:t>„</w:t>
            </w:r>
            <w:r w:rsidRPr="0053265D">
              <w:rPr>
                <w:sz w:val="20"/>
                <w:szCs w:val="20"/>
                <w:lang w:val="sr-Cyrl-CS"/>
              </w:rPr>
              <w:t>Нематали</w:t>
            </w:r>
            <w:r w:rsidRPr="0053265D">
              <w:rPr>
                <w:sz w:val="20"/>
                <w:szCs w:val="20"/>
                <w:lang w:val="sr-Latn-BA"/>
              </w:rPr>
              <w:t>“</w:t>
            </w:r>
            <w:r w:rsidRPr="0053265D">
              <w:rPr>
                <w:sz w:val="20"/>
                <w:szCs w:val="20"/>
                <w:lang w:val="sr-Cyrl-CS"/>
              </w:rPr>
              <w:t xml:space="preserve"> а.д. Приједор</w:t>
            </w:r>
          </w:p>
        </w:tc>
        <w:tc>
          <w:tcPr>
            <w:tcW w:w="602" w:type="pct"/>
            <w:vMerge w:val="restart"/>
            <w:shd w:val="clear" w:color="auto" w:fill="auto"/>
            <w:vAlign w:val="center"/>
          </w:tcPr>
          <w:p w14:paraId="59291D26"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803.927</w:t>
            </w:r>
          </w:p>
        </w:tc>
        <w:tc>
          <w:tcPr>
            <w:tcW w:w="1053" w:type="pct"/>
            <w:shd w:val="clear" w:color="auto" w:fill="auto"/>
            <w:vAlign w:val="bottom"/>
          </w:tcPr>
          <w:p w14:paraId="19501F7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„Bentoproduct“ д.о.о. Шипово</w:t>
            </w:r>
          </w:p>
        </w:tc>
        <w:tc>
          <w:tcPr>
            <w:tcW w:w="651" w:type="pct"/>
            <w:vMerge w:val="restart"/>
            <w:shd w:val="clear" w:color="auto" w:fill="auto"/>
            <w:vAlign w:val="center"/>
          </w:tcPr>
          <w:p w14:paraId="31D2BCFE"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0,32 КМ</w:t>
            </w:r>
          </w:p>
        </w:tc>
        <w:tc>
          <w:tcPr>
            <w:tcW w:w="668" w:type="pct"/>
            <w:shd w:val="clear" w:color="auto" w:fill="auto"/>
            <w:noWrap/>
            <w:vAlign w:val="bottom"/>
          </w:tcPr>
          <w:p w14:paraId="7CA923A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0,00%</w:t>
            </w:r>
          </w:p>
        </w:tc>
        <w:tc>
          <w:tcPr>
            <w:tcW w:w="673" w:type="pct"/>
            <w:shd w:val="clear" w:color="auto" w:fill="auto"/>
            <w:noWrap/>
            <w:vAlign w:val="bottom"/>
          </w:tcPr>
          <w:p w14:paraId="7FCAA805"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0,0%</w:t>
            </w:r>
          </w:p>
        </w:tc>
      </w:tr>
      <w:tr w:rsidR="004353DF" w:rsidRPr="0053265D" w14:paraId="18582925" w14:textId="77777777" w:rsidTr="004353DF">
        <w:trPr>
          <w:trHeight w:val="180"/>
        </w:trPr>
        <w:tc>
          <w:tcPr>
            <w:tcW w:w="261" w:type="pct"/>
            <w:vMerge/>
            <w:shd w:val="clear" w:color="auto" w:fill="auto"/>
            <w:vAlign w:val="center"/>
          </w:tcPr>
          <w:p w14:paraId="4253E05C" w14:textId="77777777" w:rsidR="004353DF" w:rsidRPr="0053265D" w:rsidRDefault="004353DF" w:rsidP="009F2A58">
            <w:pPr>
              <w:spacing w:before="0" w:after="0" w:line="240" w:lineRule="auto"/>
              <w:jc w:val="center"/>
              <w:rPr>
                <w:sz w:val="20"/>
                <w:szCs w:val="20"/>
                <w:lang w:val="sr-Cyrl-CS" w:eastAsia="bs-Latn-BA"/>
              </w:rPr>
            </w:pPr>
          </w:p>
        </w:tc>
        <w:tc>
          <w:tcPr>
            <w:tcW w:w="1092" w:type="pct"/>
            <w:vMerge/>
            <w:shd w:val="clear" w:color="auto" w:fill="auto"/>
            <w:vAlign w:val="center"/>
          </w:tcPr>
          <w:p w14:paraId="26D31279" w14:textId="77777777" w:rsidR="004353DF" w:rsidRPr="0053265D" w:rsidRDefault="004353DF" w:rsidP="009F2A58">
            <w:pPr>
              <w:spacing w:line="240" w:lineRule="auto"/>
              <w:rPr>
                <w:sz w:val="20"/>
                <w:szCs w:val="20"/>
                <w:lang w:val="sr-Cyrl-CS"/>
              </w:rPr>
            </w:pPr>
          </w:p>
        </w:tc>
        <w:tc>
          <w:tcPr>
            <w:tcW w:w="602" w:type="pct"/>
            <w:vMerge/>
            <w:shd w:val="clear" w:color="auto" w:fill="auto"/>
            <w:vAlign w:val="center"/>
          </w:tcPr>
          <w:p w14:paraId="0A7878C3" w14:textId="77777777" w:rsidR="004353DF" w:rsidRPr="0053265D" w:rsidRDefault="004353DF" w:rsidP="009F2A58">
            <w:pPr>
              <w:spacing w:before="0" w:after="0" w:line="240" w:lineRule="auto"/>
              <w:ind w:firstLine="0"/>
              <w:jc w:val="center"/>
              <w:rPr>
                <w:sz w:val="20"/>
                <w:szCs w:val="20"/>
                <w:lang w:val="sr-Cyrl-CS"/>
              </w:rPr>
            </w:pPr>
          </w:p>
        </w:tc>
        <w:tc>
          <w:tcPr>
            <w:tcW w:w="1053" w:type="pct"/>
            <w:shd w:val="clear" w:color="auto" w:fill="auto"/>
            <w:vAlign w:val="bottom"/>
          </w:tcPr>
          <w:p w14:paraId="4ABD8B49"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Адам Витаригов</w:t>
            </w:r>
          </w:p>
        </w:tc>
        <w:tc>
          <w:tcPr>
            <w:tcW w:w="651" w:type="pct"/>
            <w:vMerge/>
            <w:shd w:val="clear" w:color="auto" w:fill="auto"/>
            <w:vAlign w:val="center"/>
          </w:tcPr>
          <w:p w14:paraId="64953D12"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4C54B54D"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62,1825%</w:t>
            </w:r>
          </w:p>
        </w:tc>
        <w:tc>
          <w:tcPr>
            <w:tcW w:w="673" w:type="pct"/>
            <w:shd w:val="clear" w:color="auto" w:fill="auto"/>
            <w:noWrap/>
            <w:vAlign w:val="bottom"/>
          </w:tcPr>
          <w:p w14:paraId="68BC3C0A"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93,0098%</w:t>
            </w:r>
          </w:p>
        </w:tc>
      </w:tr>
      <w:tr w:rsidR="004353DF" w:rsidRPr="0053265D" w14:paraId="7B9240FB" w14:textId="77777777" w:rsidTr="004353DF">
        <w:trPr>
          <w:trHeight w:val="127"/>
        </w:trPr>
        <w:tc>
          <w:tcPr>
            <w:tcW w:w="261" w:type="pct"/>
            <w:vMerge w:val="restart"/>
            <w:shd w:val="clear" w:color="auto" w:fill="auto"/>
            <w:vAlign w:val="center"/>
          </w:tcPr>
          <w:p w14:paraId="092F3E4C" w14:textId="77777777" w:rsidR="004353DF" w:rsidRPr="0053265D" w:rsidRDefault="004353DF" w:rsidP="009F2A58">
            <w:pPr>
              <w:spacing w:before="0" w:after="0" w:line="240" w:lineRule="auto"/>
              <w:ind w:left="-719"/>
              <w:jc w:val="center"/>
              <w:rPr>
                <w:sz w:val="20"/>
                <w:szCs w:val="20"/>
                <w:lang w:val="sr-Cyrl-CS" w:eastAsia="bs-Latn-BA"/>
              </w:rPr>
            </w:pPr>
            <w:r w:rsidRPr="0053265D">
              <w:rPr>
                <w:sz w:val="20"/>
                <w:szCs w:val="20"/>
                <w:lang w:val="sr-Cyrl-CS" w:eastAsia="bs-Latn-BA"/>
              </w:rPr>
              <w:t>11.</w:t>
            </w:r>
          </w:p>
        </w:tc>
        <w:tc>
          <w:tcPr>
            <w:tcW w:w="1092" w:type="pct"/>
            <w:vMerge w:val="restart"/>
            <w:shd w:val="clear" w:color="auto" w:fill="auto"/>
            <w:vAlign w:val="center"/>
          </w:tcPr>
          <w:p w14:paraId="74759284"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„Наша банка“ а.д. Бања Лука (II)</w:t>
            </w:r>
          </w:p>
        </w:tc>
        <w:tc>
          <w:tcPr>
            <w:tcW w:w="602" w:type="pct"/>
            <w:vMerge w:val="restart"/>
            <w:shd w:val="clear" w:color="auto" w:fill="auto"/>
            <w:vAlign w:val="center"/>
          </w:tcPr>
          <w:p w14:paraId="5D82D8E6"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33.182.313</w:t>
            </w:r>
          </w:p>
        </w:tc>
        <w:tc>
          <w:tcPr>
            <w:tcW w:w="1053" w:type="pct"/>
            <w:shd w:val="clear" w:color="auto" w:fill="auto"/>
            <w:vAlign w:val="bottom"/>
          </w:tcPr>
          <w:p w14:paraId="7FC7CEA3"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„GI Finance“ д.о.о. Зворник</w:t>
            </w:r>
          </w:p>
        </w:tc>
        <w:tc>
          <w:tcPr>
            <w:tcW w:w="651" w:type="pct"/>
            <w:vMerge w:val="restart"/>
            <w:shd w:val="clear" w:color="auto" w:fill="auto"/>
            <w:vAlign w:val="center"/>
          </w:tcPr>
          <w:p w14:paraId="2F4F3050"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0,8056 КМ</w:t>
            </w:r>
          </w:p>
        </w:tc>
        <w:tc>
          <w:tcPr>
            <w:tcW w:w="668" w:type="pct"/>
            <w:shd w:val="clear" w:color="auto" w:fill="auto"/>
            <w:noWrap/>
            <w:vAlign w:val="bottom"/>
          </w:tcPr>
          <w:p w14:paraId="0BFD3286"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11,49</w:t>
            </w:r>
            <w:r w:rsidRPr="0053265D">
              <w:rPr>
                <w:sz w:val="20"/>
                <w:szCs w:val="20"/>
                <w:lang w:val="sr-Latn-BA"/>
              </w:rPr>
              <w:t>60</w:t>
            </w:r>
            <w:r w:rsidRPr="0053265D">
              <w:rPr>
                <w:sz w:val="20"/>
                <w:szCs w:val="20"/>
                <w:lang w:val="sr-Cyrl-CS"/>
              </w:rPr>
              <w:t>%</w:t>
            </w:r>
          </w:p>
        </w:tc>
        <w:tc>
          <w:tcPr>
            <w:tcW w:w="673" w:type="pct"/>
            <w:shd w:val="clear" w:color="auto" w:fill="auto"/>
            <w:noWrap/>
            <w:vAlign w:val="bottom"/>
          </w:tcPr>
          <w:p w14:paraId="0B8800C5"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73,2290%</w:t>
            </w:r>
          </w:p>
        </w:tc>
      </w:tr>
      <w:tr w:rsidR="004353DF" w:rsidRPr="0053265D" w14:paraId="456C12E9" w14:textId="77777777" w:rsidTr="004353DF">
        <w:trPr>
          <w:trHeight w:val="125"/>
        </w:trPr>
        <w:tc>
          <w:tcPr>
            <w:tcW w:w="261" w:type="pct"/>
            <w:vMerge/>
            <w:shd w:val="clear" w:color="auto" w:fill="auto"/>
            <w:vAlign w:val="center"/>
          </w:tcPr>
          <w:p w14:paraId="34D3DEF6" w14:textId="77777777" w:rsidR="004353DF" w:rsidRPr="0053265D" w:rsidRDefault="004353DF" w:rsidP="009F2A58">
            <w:pPr>
              <w:spacing w:before="0" w:after="0" w:line="240" w:lineRule="auto"/>
              <w:ind w:left="-719"/>
              <w:jc w:val="center"/>
              <w:rPr>
                <w:sz w:val="20"/>
                <w:szCs w:val="20"/>
                <w:lang w:val="sr-Cyrl-CS" w:eastAsia="bs-Latn-BA"/>
              </w:rPr>
            </w:pPr>
          </w:p>
        </w:tc>
        <w:tc>
          <w:tcPr>
            <w:tcW w:w="1092" w:type="pct"/>
            <w:vMerge/>
            <w:shd w:val="clear" w:color="auto" w:fill="auto"/>
            <w:vAlign w:val="center"/>
          </w:tcPr>
          <w:p w14:paraId="3F1D4DEC" w14:textId="77777777" w:rsidR="004353DF" w:rsidRPr="0053265D" w:rsidRDefault="004353DF" w:rsidP="009F2A58">
            <w:pPr>
              <w:spacing w:before="0" w:after="0" w:line="240" w:lineRule="auto"/>
              <w:ind w:firstLine="0"/>
              <w:jc w:val="center"/>
              <w:rPr>
                <w:sz w:val="20"/>
                <w:szCs w:val="20"/>
                <w:lang w:val="sr-Cyrl-CS"/>
              </w:rPr>
            </w:pPr>
          </w:p>
        </w:tc>
        <w:tc>
          <w:tcPr>
            <w:tcW w:w="602" w:type="pct"/>
            <w:vMerge/>
            <w:shd w:val="clear" w:color="auto" w:fill="auto"/>
            <w:vAlign w:val="center"/>
          </w:tcPr>
          <w:p w14:paraId="6243264E" w14:textId="77777777" w:rsidR="004353DF" w:rsidRPr="0053265D" w:rsidRDefault="004353DF" w:rsidP="009F2A58">
            <w:pPr>
              <w:spacing w:before="0" w:after="0" w:line="240" w:lineRule="auto"/>
              <w:ind w:firstLine="0"/>
              <w:jc w:val="center"/>
              <w:rPr>
                <w:sz w:val="20"/>
                <w:szCs w:val="20"/>
                <w:lang w:val="sr-Cyrl-CS"/>
              </w:rPr>
            </w:pPr>
          </w:p>
        </w:tc>
        <w:tc>
          <w:tcPr>
            <w:tcW w:w="1053" w:type="pct"/>
            <w:shd w:val="clear" w:color="auto" w:fill="auto"/>
            <w:vAlign w:val="bottom"/>
          </w:tcPr>
          <w:p w14:paraId="45217ACB"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„Галенс инвест“ д.о.о. Нови Сад</w:t>
            </w:r>
          </w:p>
        </w:tc>
        <w:tc>
          <w:tcPr>
            <w:tcW w:w="651" w:type="pct"/>
            <w:vMerge/>
            <w:shd w:val="clear" w:color="auto" w:fill="auto"/>
            <w:vAlign w:val="center"/>
          </w:tcPr>
          <w:p w14:paraId="30708C46"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68C21AB1"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22,240</w:t>
            </w:r>
            <w:r w:rsidRPr="0053265D">
              <w:rPr>
                <w:sz w:val="20"/>
                <w:szCs w:val="20"/>
                <w:lang w:val="sr-Latn-BA"/>
              </w:rPr>
              <w:t>3</w:t>
            </w:r>
            <w:r w:rsidRPr="0053265D">
              <w:rPr>
                <w:sz w:val="20"/>
                <w:szCs w:val="20"/>
                <w:lang w:val="sr-Cyrl-CS"/>
              </w:rPr>
              <w:t>%</w:t>
            </w:r>
          </w:p>
        </w:tc>
        <w:tc>
          <w:tcPr>
            <w:tcW w:w="673" w:type="pct"/>
            <w:shd w:val="clear" w:color="auto" w:fill="auto"/>
            <w:noWrap/>
            <w:vAlign w:val="bottom"/>
          </w:tcPr>
          <w:p w14:paraId="7986DA2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22,240</w:t>
            </w:r>
            <w:r w:rsidRPr="0053265D">
              <w:rPr>
                <w:sz w:val="20"/>
                <w:szCs w:val="20"/>
                <w:lang w:val="sr-Latn-BA"/>
              </w:rPr>
              <w:t>3</w:t>
            </w:r>
            <w:r w:rsidRPr="0053265D">
              <w:rPr>
                <w:sz w:val="20"/>
                <w:szCs w:val="20"/>
                <w:lang w:val="sr-Cyrl-CS"/>
              </w:rPr>
              <w:t>%</w:t>
            </w:r>
          </w:p>
        </w:tc>
      </w:tr>
      <w:tr w:rsidR="004353DF" w:rsidRPr="0053265D" w14:paraId="06CB1488" w14:textId="77777777" w:rsidTr="004353DF">
        <w:trPr>
          <w:trHeight w:val="125"/>
        </w:trPr>
        <w:tc>
          <w:tcPr>
            <w:tcW w:w="261" w:type="pct"/>
            <w:vMerge/>
            <w:shd w:val="clear" w:color="auto" w:fill="auto"/>
            <w:vAlign w:val="center"/>
          </w:tcPr>
          <w:p w14:paraId="5E1E6184" w14:textId="77777777" w:rsidR="004353DF" w:rsidRPr="0053265D" w:rsidRDefault="004353DF" w:rsidP="009F2A58">
            <w:pPr>
              <w:spacing w:before="0" w:after="0" w:line="240" w:lineRule="auto"/>
              <w:ind w:left="-719"/>
              <w:jc w:val="center"/>
              <w:rPr>
                <w:sz w:val="20"/>
                <w:szCs w:val="20"/>
                <w:lang w:val="sr-Cyrl-CS" w:eastAsia="bs-Latn-BA"/>
              </w:rPr>
            </w:pPr>
          </w:p>
        </w:tc>
        <w:tc>
          <w:tcPr>
            <w:tcW w:w="1092" w:type="pct"/>
            <w:vMerge/>
            <w:shd w:val="clear" w:color="auto" w:fill="auto"/>
            <w:vAlign w:val="center"/>
          </w:tcPr>
          <w:p w14:paraId="4E8FDBDF" w14:textId="77777777" w:rsidR="004353DF" w:rsidRPr="0053265D" w:rsidRDefault="004353DF" w:rsidP="009F2A58">
            <w:pPr>
              <w:spacing w:before="0" w:after="0" w:line="240" w:lineRule="auto"/>
              <w:ind w:firstLine="0"/>
              <w:jc w:val="center"/>
              <w:rPr>
                <w:sz w:val="20"/>
                <w:szCs w:val="20"/>
                <w:lang w:val="sr-Cyrl-CS"/>
              </w:rPr>
            </w:pPr>
          </w:p>
        </w:tc>
        <w:tc>
          <w:tcPr>
            <w:tcW w:w="602" w:type="pct"/>
            <w:vMerge/>
            <w:shd w:val="clear" w:color="auto" w:fill="auto"/>
            <w:vAlign w:val="center"/>
          </w:tcPr>
          <w:p w14:paraId="7FF2C875" w14:textId="77777777" w:rsidR="004353DF" w:rsidRPr="0053265D" w:rsidRDefault="004353DF" w:rsidP="009F2A58">
            <w:pPr>
              <w:spacing w:before="0" w:after="0" w:line="240" w:lineRule="auto"/>
              <w:ind w:firstLine="0"/>
              <w:jc w:val="center"/>
              <w:rPr>
                <w:sz w:val="20"/>
                <w:szCs w:val="20"/>
                <w:lang w:val="sr-Cyrl-CS"/>
              </w:rPr>
            </w:pPr>
          </w:p>
        </w:tc>
        <w:tc>
          <w:tcPr>
            <w:tcW w:w="1053" w:type="pct"/>
            <w:shd w:val="clear" w:color="auto" w:fill="auto"/>
            <w:vAlign w:val="bottom"/>
          </w:tcPr>
          <w:p w14:paraId="2001378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„Г-инжењеринг“ д.о.о. Зворник</w:t>
            </w:r>
          </w:p>
        </w:tc>
        <w:tc>
          <w:tcPr>
            <w:tcW w:w="651" w:type="pct"/>
            <w:vMerge/>
            <w:shd w:val="clear" w:color="auto" w:fill="auto"/>
            <w:vAlign w:val="center"/>
          </w:tcPr>
          <w:p w14:paraId="69BBF5CE" w14:textId="77777777" w:rsidR="004353DF" w:rsidRPr="0053265D" w:rsidRDefault="004353DF" w:rsidP="009F2A58">
            <w:pPr>
              <w:spacing w:before="0" w:after="0" w:line="240" w:lineRule="auto"/>
              <w:ind w:firstLine="0"/>
              <w:jc w:val="center"/>
              <w:rPr>
                <w:sz w:val="20"/>
                <w:szCs w:val="20"/>
                <w:lang w:val="sr-Cyrl-CS"/>
              </w:rPr>
            </w:pPr>
          </w:p>
        </w:tc>
        <w:tc>
          <w:tcPr>
            <w:tcW w:w="668" w:type="pct"/>
            <w:shd w:val="clear" w:color="auto" w:fill="auto"/>
            <w:noWrap/>
            <w:vAlign w:val="bottom"/>
          </w:tcPr>
          <w:p w14:paraId="6AD1CFC7"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4,1317%</w:t>
            </w:r>
          </w:p>
        </w:tc>
        <w:tc>
          <w:tcPr>
            <w:tcW w:w="673" w:type="pct"/>
            <w:shd w:val="clear" w:color="auto" w:fill="auto"/>
            <w:noWrap/>
            <w:vAlign w:val="bottom"/>
          </w:tcPr>
          <w:p w14:paraId="0E1CED5F" w14:textId="77777777" w:rsidR="004353DF" w:rsidRPr="0053265D" w:rsidRDefault="004353DF" w:rsidP="009F2A58">
            <w:pPr>
              <w:spacing w:before="0" w:after="0" w:line="240" w:lineRule="auto"/>
              <w:ind w:firstLine="0"/>
              <w:jc w:val="center"/>
              <w:rPr>
                <w:sz w:val="20"/>
                <w:szCs w:val="20"/>
                <w:lang w:val="sr-Cyrl-CS"/>
              </w:rPr>
            </w:pPr>
            <w:r w:rsidRPr="0053265D">
              <w:rPr>
                <w:sz w:val="20"/>
                <w:szCs w:val="20"/>
                <w:lang w:val="sr-Cyrl-CS"/>
              </w:rPr>
              <w:t>4,1317%</w:t>
            </w:r>
          </w:p>
        </w:tc>
      </w:tr>
    </w:tbl>
    <w:p w14:paraId="624E9AE0" w14:textId="57373420" w:rsidR="00151EAC" w:rsidRPr="00EC6422" w:rsidRDefault="00151EAC" w:rsidP="006B6E0C">
      <w:pPr>
        <w:pStyle w:val="Caption"/>
        <w:tabs>
          <w:tab w:val="left" w:pos="1276"/>
        </w:tabs>
        <w:spacing w:after="120"/>
        <w:ind w:left="1276" w:hanging="1276"/>
        <w:jc w:val="both"/>
        <w:rPr>
          <w:rFonts w:ascii="Times New Roman" w:hAnsi="Times New Roman"/>
          <w:b w:val="0"/>
          <w:sz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8</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proofErr w:type="spellStart"/>
      <w:r w:rsidRPr="00EC6422">
        <w:rPr>
          <w:rFonts w:ascii="Times New Roman" w:hAnsi="Times New Roman"/>
          <w:b w:val="0"/>
          <w:sz w:val="24"/>
          <w:lang w:val="sr-Cyrl-BA"/>
        </w:rPr>
        <w:t>Преглед</w:t>
      </w:r>
      <w:proofErr w:type="spellEnd"/>
      <w:r w:rsidRPr="00EC6422">
        <w:rPr>
          <w:rFonts w:ascii="Times New Roman" w:hAnsi="Times New Roman"/>
          <w:b w:val="0"/>
          <w:sz w:val="24"/>
          <w:lang w:val="sr-Cyrl-BA"/>
        </w:rPr>
        <w:t xml:space="preserve"> завршених поступака преузимања акционарских друштава у </w:t>
      </w:r>
      <w:r w:rsidR="002C66E2">
        <w:rPr>
          <w:rFonts w:ascii="Times New Roman" w:hAnsi="Times New Roman"/>
          <w:b w:val="0"/>
          <w:sz w:val="24"/>
          <w:lang w:val="sr-Cyrl-BA"/>
        </w:rPr>
        <w:t>2023</w:t>
      </w:r>
      <w:r w:rsidRPr="00EC6422">
        <w:rPr>
          <w:rFonts w:ascii="Times New Roman" w:hAnsi="Times New Roman"/>
          <w:b w:val="0"/>
          <w:sz w:val="24"/>
          <w:lang w:val="sr-Cyrl-BA"/>
        </w:rPr>
        <w:t>. годин</w:t>
      </w:r>
      <w:r w:rsidR="001E125D">
        <w:rPr>
          <w:rFonts w:ascii="Times New Roman" w:hAnsi="Times New Roman"/>
          <w:b w:val="0"/>
          <w:sz w:val="24"/>
          <w:lang w:val="sr-Cyrl-BA"/>
        </w:rPr>
        <w:t>и</w:t>
      </w:r>
      <w:r w:rsidRPr="00EC6422">
        <w:rPr>
          <w:rFonts w:ascii="Times New Roman" w:hAnsi="Times New Roman"/>
          <w:b w:val="0"/>
          <w:sz w:val="24"/>
          <w:lang w:val="sr-Cyrl-BA"/>
        </w:rPr>
        <w:t xml:space="preserve"> </w:t>
      </w:r>
    </w:p>
    <w:p w14:paraId="7D98A900" w14:textId="5D76CBAE" w:rsidR="00204DC4" w:rsidRDefault="009D721C" w:rsidP="006B6E0C">
      <w:pPr>
        <w:spacing w:after="0" w:line="240" w:lineRule="auto"/>
        <w:ind w:firstLine="567"/>
        <w:rPr>
          <w:lang w:val="sr-Cyrl-BA"/>
        </w:rPr>
      </w:pPr>
      <w:r w:rsidRPr="003B2FB7">
        <w:rPr>
          <w:lang w:val="sr-Cyrl-BA"/>
        </w:rPr>
        <w:t>Наведени показатељи говоре у прилог констатацији да је власничка консолидација у значајној мјери окончана, те да се механизам понуде за преузимање користи само као претходна фаза за истискивање мањинских акционара и промјену облика или правне форме акционарског друштва</w:t>
      </w:r>
      <w:r w:rsidR="00A1510F" w:rsidRPr="00EC6422">
        <w:rPr>
          <w:lang w:val="sr-Cyrl-BA"/>
        </w:rPr>
        <w:t xml:space="preserve">. </w:t>
      </w:r>
      <w:bookmarkStart w:id="55" w:name="_Toc384212491"/>
    </w:p>
    <w:p w14:paraId="5272C867" w14:textId="0B0F86D1" w:rsidR="00E84A26" w:rsidRDefault="00E84A26" w:rsidP="006B6E0C">
      <w:pPr>
        <w:spacing w:after="0" w:line="240" w:lineRule="auto"/>
        <w:ind w:firstLine="567"/>
        <w:rPr>
          <w:lang w:val="sr-Latn-BA"/>
        </w:rPr>
      </w:pPr>
      <w:r w:rsidRPr="00E84A26">
        <w:rPr>
          <w:lang w:val="sr-Cyrl-BA"/>
        </w:rPr>
        <w:t xml:space="preserve">Комисија је у току </w:t>
      </w:r>
      <w:r w:rsidR="002C66E2">
        <w:rPr>
          <w:lang w:val="sr-Latn-BA"/>
        </w:rPr>
        <w:t xml:space="preserve">2023. </w:t>
      </w:r>
      <w:r w:rsidR="002C66E2">
        <w:rPr>
          <w:lang w:val="sr-Cyrl-BA"/>
        </w:rPr>
        <w:t>године</w:t>
      </w:r>
      <w:r w:rsidR="002C66E2" w:rsidRPr="00192C67">
        <w:rPr>
          <w:lang w:val="sr-Cyrl-BA"/>
        </w:rPr>
        <w:t xml:space="preserve"> усвојила и три одговора на упит из области преузимања акционарских друштава, као и један одговор на тужбу у управном спору против акта Комисије којим је утврђена обавеза објављивања понуде за преузимање</w:t>
      </w:r>
      <w:r>
        <w:rPr>
          <w:lang w:val="sr-Cyrl-BA"/>
        </w:rPr>
        <w:t>.</w:t>
      </w:r>
    </w:p>
    <w:p w14:paraId="649864E7"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56" w:name="_Toc167960428"/>
      <w:r w:rsidRPr="00EC6422">
        <w:rPr>
          <w:rFonts w:ascii="Times New Roman" w:hAnsi="Times New Roman"/>
          <w:caps w:val="0"/>
          <w:color w:val="002060"/>
          <w:lang w:val="sr-Cyrl-BA"/>
        </w:rPr>
        <w:lastRenderedPageBreak/>
        <w:t>ПРОМЈЕНА ОБЛИКА АКЦИОНАРСКОГ ДРУШТВА И ПРОМЈЕНА ПРАВНЕ ФОРМЕ</w:t>
      </w:r>
      <w:bookmarkEnd w:id="55"/>
      <w:bookmarkEnd w:id="56"/>
    </w:p>
    <w:p w14:paraId="6A21E04C" w14:textId="2803679D" w:rsidR="004D5CC0" w:rsidRPr="0014689B" w:rsidRDefault="004D5CC0" w:rsidP="004D5CC0">
      <w:pPr>
        <w:spacing w:after="0" w:line="240" w:lineRule="auto"/>
        <w:ind w:firstLine="567"/>
        <w:rPr>
          <w:lang w:val="sr-Cyrl-BA"/>
        </w:rPr>
      </w:pPr>
      <w:bookmarkStart w:id="57" w:name="OLE_LINK120"/>
      <w:bookmarkStart w:id="58" w:name="OLE_LINK121"/>
      <w:bookmarkStart w:id="59" w:name="OLE_LINK122"/>
      <w:r w:rsidRPr="0014689B">
        <w:rPr>
          <w:lang w:val="sr-Cyrl-BA"/>
        </w:rPr>
        <w:t>Законом о привредним друштвима</w:t>
      </w:r>
      <w:r w:rsidRPr="0014689B">
        <w:rPr>
          <w:rStyle w:val="FootnoteReference"/>
          <w:lang w:val="sr-Cyrl-BA"/>
        </w:rPr>
        <w:footnoteReference w:id="9"/>
      </w:r>
      <w:r>
        <w:rPr>
          <w:lang w:val="sr-Latn-BA"/>
        </w:rPr>
        <w:t xml:space="preserve"> </w:t>
      </w:r>
      <w:r w:rsidRPr="00742706">
        <w:rPr>
          <w:lang w:val="sr-Cyrl-BA"/>
        </w:rPr>
        <w:t xml:space="preserve">уређена је могућност промјене облика акционарског друштва (одредбом члана 189. и 191а), као и могућност промјене правне форме акционарског друштва (одредбе чланова 421. – 425.). </w:t>
      </w:r>
      <w:r w:rsidR="00BF6D48" w:rsidRPr="00192C67">
        <w:rPr>
          <w:lang w:val="sr-Cyrl-BA"/>
        </w:rPr>
        <w:t>На основу овлашћења из члана 191а. став</w:t>
      </w:r>
      <w:r w:rsidR="00BF6D48" w:rsidRPr="00192C67">
        <w:rPr>
          <w:lang w:val="sr-Latn-BA"/>
        </w:rPr>
        <w:t xml:space="preserve"> 4. </w:t>
      </w:r>
      <w:r w:rsidR="00BF6D48" w:rsidRPr="00192C67">
        <w:rPr>
          <w:lang w:val="sr-Cyrl-BA"/>
        </w:rPr>
        <w:t>и члана 421. став 5. тог закона, Комисија је додатно уредила ову област доношењем Правилника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r>
        <w:rPr>
          <w:rStyle w:val="FootnoteReference"/>
          <w:lang w:val="sr-Cyrl-BA"/>
        </w:rPr>
        <w:footnoteReference w:id="10"/>
      </w:r>
      <w:r w:rsidRPr="0014689B">
        <w:rPr>
          <w:lang w:val="sr-Cyrl-BA"/>
        </w:rPr>
        <w:t>.</w:t>
      </w:r>
    </w:p>
    <w:p w14:paraId="30A6B953" w14:textId="0A83C59F" w:rsidR="004D5CC0" w:rsidRPr="0014689B" w:rsidRDefault="004D5CC0" w:rsidP="004D5CC0">
      <w:pPr>
        <w:spacing w:after="0" w:line="240" w:lineRule="auto"/>
        <w:ind w:firstLine="567"/>
        <w:rPr>
          <w:lang w:val="sr-Cyrl-BA"/>
        </w:rPr>
      </w:pPr>
      <w:r w:rsidRPr="0014689B">
        <w:rPr>
          <w:lang w:val="sr-Cyrl-BA"/>
        </w:rPr>
        <w:t xml:space="preserve">У </w:t>
      </w:r>
      <w:r>
        <w:rPr>
          <w:lang w:val="sr-Cyrl-BA"/>
        </w:rPr>
        <w:t>202</w:t>
      </w:r>
      <w:r w:rsidR="00BF6D48">
        <w:rPr>
          <w:lang w:val="sr-Latn-BA"/>
        </w:rPr>
        <w:t>3</w:t>
      </w:r>
      <w:r>
        <w:rPr>
          <w:lang w:val="sr-Cyrl-BA"/>
        </w:rPr>
        <w:t>. години</w:t>
      </w:r>
      <w:r w:rsidRPr="0014689B">
        <w:rPr>
          <w:lang w:val="sr-Cyrl-BA"/>
        </w:rPr>
        <w:t xml:space="preserve"> </w:t>
      </w:r>
      <w:r w:rsidR="00BF6D48" w:rsidRPr="00192C67">
        <w:rPr>
          <w:lang w:val="sr-Cyrl-BA"/>
        </w:rPr>
        <w:t>Комисија је уписала пет промјена правне форме акционарског друштва у друштво са ограниченом одговорношћу и двије промјене облика акционарског друштва (отвореног у затворено)</w:t>
      </w:r>
      <w:r w:rsidRPr="00742706">
        <w:rPr>
          <w:lang w:val="sr-Cyrl-BA"/>
        </w:rPr>
        <w:t>.</w:t>
      </w:r>
    </w:p>
    <w:p w14:paraId="07207D59" w14:textId="1E1CB398" w:rsidR="004D5CC0" w:rsidRPr="0014689B" w:rsidRDefault="00BF6D48" w:rsidP="004D5CC0">
      <w:pPr>
        <w:spacing w:line="240" w:lineRule="auto"/>
        <w:ind w:firstLine="567"/>
        <w:rPr>
          <w:lang w:val="sr-Cyrl-BA"/>
        </w:rPr>
      </w:pPr>
      <w:r w:rsidRPr="00192C67">
        <w:rPr>
          <w:lang w:val="sr-Cyrl-BA"/>
        </w:rPr>
        <w:t xml:space="preserve">У периоду важења актуелног Закона о привредним друштвима, од када је читав процес и започео, правну форму отвореног акционарског друштва у друштво са ограниченом одговорношћу промијенило је укупно 104 друштва, док је 16 друштава промијенило облик организовања – из отвореног у затворено акционарско друштво. Сва поменута друштва су </w:t>
      </w:r>
      <w:proofErr w:type="spellStart"/>
      <w:r w:rsidRPr="00192C67">
        <w:rPr>
          <w:lang w:val="sr-Cyrl-BA"/>
        </w:rPr>
        <w:t>делистирана</w:t>
      </w:r>
      <w:proofErr w:type="spellEnd"/>
      <w:r w:rsidRPr="00192C67">
        <w:rPr>
          <w:lang w:val="sr-Cyrl-BA"/>
        </w:rPr>
        <w:t xml:space="preserve"> из берзанског система трговања</w:t>
      </w:r>
      <w:r w:rsidR="004D5CC0" w:rsidRPr="0014689B">
        <w:rPr>
          <w:lang w:val="sr-Cyrl-BA"/>
        </w:rPr>
        <w:t>.</w:t>
      </w:r>
    </w:p>
    <w:tbl>
      <w:tblPr>
        <w:tblStyle w:val="LightGrid-Accent11"/>
        <w:tblW w:w="9230" w:type="dxa"/>
        <w:jc w:val="center"/>
        <w:tblLook w:val="04A0" w:firstRow="1" w:lastRow="0" w:firstColumn="1" w:lastColumn="0" w:noHBand="0" w:noVBand="1"/>
      </w:tblPr>
      <w:tblGrid>
        <w:gridCol w:w="5377"/>
        <w:gridCol w:w="643"/>
        <w:gridCol w:w="642"/>
        <w:gridCol w:w="642"/>
        <w:gridCol w:w="642"/>
        <w:gridCol w:w="642"/>
        <w:gridCol w:w="642"/>
      </w:tblGrid>
      <w:tr w:rsidR="00BF6D48" w:rsidRPr="0053265D" w14:paraId="24F3329E" w14:textId="77777777" w:rsidTr="00BF6D48">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376" w:type="dxa"/>
          </w:tcPr>
          <w:p w14:paraId="04756ACB" w14:textId="77777777" w:rsidR="00BF6D48" w:rsidRPr="0053265D" w:rsidRDefault="00BF6D48" w:rsidP="00BF6D48">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Године</w:t>
            </w:r>
          </w:p>
        </w:tc>
        <w:tc>
          <w:tcPr>
            <w:tcW w:w="0" w:type="auto"/>
          </w:tcPr>
          <w:p w14:paraId="0D831FDA" w14:textId="450426D3"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2018.</w:t>
            </w:r>
          </w:p>
        </w:tc>
        <w:tc>
          <w:tcPr>
            <w:tcW w:w="0" w:type="auto"/>
          </w:tcPr>
          <w:p w14:paraId="7A69B42D" w14:textId="4B523ACD"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2019.</w:t>
            </w:r>
          </w:p>
        </w:tc>
        <w:tc>
          <w:tcPr>
            <w:tcW w:w="0" w:type="auto"/>
          </w:tcPr>
          <w:p w14:paraId="44321536" w14:textId="2CA6B59F"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2020.</w:t>
            </w:r>
          </w:p>
        </w:tc>
        <w:tc>
          <w:tcPr>
            <w:tcW w:w="0" w:type="auto"/>
          </w:tcPr>
          <w:p w14:paraId="5064A3FD" w14:textId="129264DD"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2021.</w:t>
            </w:r>
          </w:p>
        </w:tc>
        <w:tc>
          <w:tcPr>
            <w:tcW w:w="0" w:type="auto"/>
          </w:tcPr>
          <w:p w14:paraId="3FF405EA" w14:textId="15342C6F"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Latn-BA"/>
              </w:rPr>
              <w:t>2022.</w:t>
            </w:r>
          </w:p>
        </w:tc>
        <w:tc>
          <w:tcPr>
            <w:tcW w:w="0" w:type="auto"/>
          </w:tcPr>
          <w:p w14:paraId="278EAEB6" w14:textId="20AB9600" w:rsidR="00BF6D48" w:rsidRPr="0053265D"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en-US"/>
              </w:rPr>
            </w:pPr>
            <w:r w:rsidRPr="0053265D">
              <w:rPr>
                <w:rFonts w:ascii="Times New Roman" w:hAnsi="Times New Roman" w:cs="Times New Roman"/>
                <w:sz w:val="18"/>
                <w:szCs w:val="20"/>
                <w:lang w:val="en-US"/>
              </w:rPr>
              <w:t>2023.</w:t>
            </w:r>
          </w:p>
        </w:tc>
      </w:tr>
      <w:tr w:rsidR="00BF6D48" w:rsidRPr="0053265D" w14:paraId="1C5CC99E" w14:textId="77777777" w:rsidTr="00BF6D48">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376" w:type="dxa"/>
          </w:tcPr>
          <w:p w14:paraId="20E9943E" w14:textId="77777777" w:rsidR="00BF6D48" w:rsidRPr="0053265D" w:rsidRDefault="00BF6D48" w:rsidP="00BF6D48">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Промјене облика организовања</w:t>
            </w:r>
            <w:r w:rsidRPr="0053265D">
              <w:rPr>
                <w:rFonts w:ascii="Times New Roman" w:hAnsi="Times New Roman" w:cs="Times New Roman"/>
                <w:sz w:val="18"/>
                <w:lang w:val="sr-Cyrl-BA"/>
              </w:rPr>
              <w:t xml:space="preserve"> </w:t>
            </w:r>
            <w:proofErr w:type="spellStart"/>
            <w:r w:rsidRPr="0053265D">
              <w:rPr>
                <w:rFonts w:ascii="Times New Roman" w:hAnsi="Times New Roman" w:cs="Times New Roman"/>
                <w:sz w:val="18"/>
                <w:szCs w:val="20"/>
                <w:lang w:val="sr-Cyrl-BA"/>
              </w:rPr>
              <w:t>а.д</w:t>
            </w:r>
            <w:proofErr w:type="spellEnd"/>
            <w:r w:rsidRPr="0053265D">
              <w:rPr>
                <w:rFonts w:ascii="Times New Roman" w:hAnsi="Times New Roman" w:cs="Times New Roman"/>
                <w:sz w:val="18"/>
                <w:szCs w:val="20"/>
                <w:lang w:val="sr-Cyrl-BA"/>
              </w:rPr>
              <w:t>. - из отвореног у затворено</w:t>
            </w:r>
          </w:p>
        </w:tc>
        <w:tc>
          <w:tcPr>
            <w:tcW w:w="0" w:type="auto"/>
          </w:tcPr>
          <w:p w14:paraId="30BFCF55" w14:textId="0D995001"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w:t>
            </w:r>
          </w:p>
        </w:tc>
        <w:tc>
          <w:tcPr>
            <w:tcW w:w="0" w:type="auto"/>
          </w:tcPr>
          <w:p w14:paraId="4981CF90" w14:textId="4D9EFA3F"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1</w:t>
            </w:r>
          </w:p>
        </w:tc>
        <w:tc>
          <w:tcPr>
            <w:tcW w:w="0" w:type="auto"/>
          </w:tcPr>
          <w:p w14:paraId="14049F6E" w14:textId="66F33274"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1</w:t>
            </w:r>
          </w:p>
        </w:tc>
        <w:tc>
          <w:tcPr>
            <w:tcW w:w="0" w:type="auto"/>
          </w:tcPr>
          <w:p w14:paraId="106509D1" w14:textId="1AE377BE"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1</w:t>
            </w:r>
          </w:p>
        </w:tc>
        <w:tc>
          <w:tcPr>
            <w:tcW w:w="0" w:type="auto"/>
          </w:tcPr>
          <w:p w14:paraId="0F365C03" w14:textId="23756135"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Latn-BA"/>
              </w:rPr>
              <w:t>1</w:t>
            </w:r>
          </w:p>
        </w:tc>
        <w:tc>
          <w:tcPr>
            <w:tcW w:w="0" w:type="auto"/>
          </w:tcPr>
          <w:p w14:paraId="3BE8D4E2" w14:textId="0690FBFD" w:rsidR="00BF6D48" w:rsidRPr="0053265D"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en-US"/>
              </w:rPr>
            </w:pPr>
            <w:r w:rsidRPr="0053265D">
              <w:rPr>
                <w:rFonts w:ascii="Times New Roman" w:hAnsi="Times New Roman" w:cs="Times New Roman"/>
                <w:sz w:val="18"/>
                <w:szCs w:val="20"/>
                <w:lang w:val="en-US"/>
              </w:rPr>
              <w:t>2</w:t>
            </w:r>
          </w:p>
        </w:tc>
      </w:tr>
      <w:tr w:rsidR="00BF6D48" w:rsidRPr="0053265D" w14:paraId="52123BDC" w14:textId="77777777" w:rsidTr="00BF6D4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76" w:type="dxa"/>
          </w:tcPr>
          <w:p w14:paraId="2EAF6D98" w14:textId="77777777" w:rsidR="00BF6D48" w:rsidRPr="0053265D" w:rsidRDefault="00BF6D48" w:rsidP="00BF6D48">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 xml:space="preserve">Промјене правне форме – из </w:t>
            </w:r>
            <w:proofErr w:type="spellStart"/>
            <w:r w:rsidRPr="0053265D">
              <w:rPr>
                <w:rFonts w:ascii="Times New Roman" w:hAnsi="Times New Roman" w:cs="Times New Roman"/>
                <w:sz w:val="18"/>
                <w:szCs w:val="20"/>
                <w:lang w:val="sr-Cyrl-BA"/>
              </w:rPr>
              <w:t>а.д</w:t>
            </w:r>
            <w:proofErr w:type="spellEnd"/>
            <w:r w:rsidRPr="0053265D">
              <w:rPr>
                <w:rFonts w:ascii="Times New Roman" w:hAnsi="Times New Roman" w:cs="Times New Roman"/>
                <w:sz w:val="18"/>
                <w:szCs w:val="20"/>
                <w:lang w:val="sr-Cyrl-BA"/>
              </w:rPr>
              <w:t xml:space="preserve">. у </w:t>
            </w:r>
            <w:proofErr w:type="spellStart"/>
            <w:r w:rsidRPr="0053265D">
              <w:rPr>
                <w:rFonts w:ascii="Times New Roman" w:hAnsi="Times New Roman" w:cs="Times New Roman"/>
                <w:sz w:val="18"/>
                <w:szCs w:val="20"/>
                <w:lang w:val="sr-Cyrl-BA"/>
              </w:rPr>
              <w:t>д.о.о</w:t>
            </w:r>
            <w:proofErr w:type="spellEnd"/>
            <w:r w:rsidRPr="0053265D">
              <w:rPr>
                <w:rFonts w:ascii="Times New Roman" w:hAnsi="Times New Roman" w:cs="Times New Roman"/>
                <w:sz w:val="18"/>
                <w:szCs w:val="20"/>
                <w:lang w:val="sr-Cyrl-BA"/>
              </w:rPr>
              <w:t>.</w:t>
            </w:r>
          </w:p>
        </w:tc>
        <w:tc>
          <w:tcPr>
            <w:tcW w:w="0" w:type="auto"/>
          </w:tcPr>
          <w:p w14:paraId="1CDF370E" w14:textId="691EF608"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5</w:t>
            </w:r>
          </w:p>
        </w:tc>
        <w:tc>
          <w:tcPr>
            <w:tcW w:w="0" w:type="auto"/>
          </w:tcPr>
          <w:p w14:paraId="3A4FC743" w14:textId="63D1918E"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6</w:t>
            </w:r>
          </w:p>
        </w:tc>
        <w:tc>
          <w:tcPr>
            <w:tcW w:w="0" w:type="auto"/>
          </w:tcPr>
          <w:p w14:paraId="219C3181" w14:textId="79C9F011"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3</w:t>
            </w:r>
          </w:p>
        </w:tc>
        <w:tc>
          <w:tcPr>
            <w:tcW w:w="0" w:type="auto"/>
          </w:tcPr>
          <w:p w14:paraId="0023E561" w14:textId="530BA334"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Cyrl-BA"/>
              </w:rPr>
              <w:t>6</w:t>
            </w:r>
          </w:p>
        </w:tc>
        <w:tc>
          <w:tcPr>
            <w:tcW w:w="0" w:type="auto"/>
          </w:tcPr>
          <w:p w14:paraId="7C236099" w14:textId="0080D271"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sidRPr="0053265D">
              <w:rPr>
                <w:rFonts w:ascii="Times New Roman" w:hAnsi="Times New Roman" w:cs="Times New Roman"/>
                <w:sz w:val="18"/>
                <w:szCs w:val="20"/>
                <w:lang w:val="sr-Latn-BA"/>
              </w:rPr>
              <w:t>7</w:t>
            </w:r>
          </w:p>
        </w:tc>
        <w:tc>
          <w:tcPr>
            <w:tcW w:w="0" w:type="auto"/>
          </w:tcPr>
          <w:p w14:paraId="1B0C26BB" w14:textId="031FC75F" w:rsidR="00BF6D48" w:rsidRPr="0053265D"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en-US"/>
              </w:rPr>
            </w:pPr>
            <w:r w:rsidRPr="0053265D">
              <w:rPr>
                <w:rFonts w:ascii="Times New Roman" w:hAnsi="Times New Roman" w:cs="Times New Roman"/>
                <w:sz w:val="18"/>
                <w:szCs w:val="20"/>
                <w:lang w:val="en-US"/>
              </w:rPr>
              <w:t>5</w:t>
            </w:r>
          </w:p>
        </w:tc>
      </w:tr>
    </w:tbl>
    <w:p w14:paraId="2F57038F" w14:textId="609EC775" w:rsidR="0014689B" w:rsidRPr="00294897" w:rsidRDefault="0014689B" w:rsidP="006B6E0C">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Pr="00294897">
        <w:rPr>
          <w:rFonts w:ascii="Times New Roman" w:hAnsi="Times New Roman"/>
          <w:sz w:val="24"/>
          <w:szCs w:val="24"/>
          <w:lang w:val="sr-Cyrl-BA"/>
        </w:rPr>
        <w:fldChar w:fldCharType="separate"/>
      </w:r>
      <w:r w:rsidR="00C64B5B">
        <w:rPr>
          <w:rFonts w:ascii="Times New Roman" w:hAnsi="Times New Roman"/>
          <w:noProof/>
          <w:sz w:val="24"/>
          <w:szCs w:val="24"/>
          <w:lang w:val="sr-Cyrl-BA"/>
        </w:rPr>
        <w:t>9</w:t>
      </w:r>
      <w:r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Pr="00294897">
        <w:rPr>
          <w:rFonts w:ascii="Times New Roman" w:hAnsi="Times New Roman"/>
          <w:b w:val="0"/>
          <w:sz w:val="24"/>
          <w:szCs w:val="24"/>
          <w:lang w:val="sr-Cyrl-BA"/>
        </w:rPr>
        <w:t xml:space="preserve">Број поступака промјене облика </w:t>
      </w:r>
      <w:r w:rsidRPr="00D14E97">
        <w:rPr>
          <w:rFonts w:ascii="Times New Roman" w:hAnsi="Times New Roman"/>
          <w:b w:val="0"/>
          <w:sz w:val="24"/>
          <w:szCs w:val="24"/>
          <w:lang w:val="sr-Cyrl-BA"/>
        </w:rPr>
        <w:t>организовања</w:t>
      </w:r>
      <w:r w:rsidRPr="00D14E97">
        <w:rPr>
          <w:lang w:val="sr-Cyrl-BA"/>
        </w:rPr>
        <w:t xml:space="preserve"> </w:t>
      </w:r>
      <w:r w:rsidRPr="00294897">
        <w:rPr>
          <w:rFonts w:ascii="Times New Roman" w:hAnsi="Times New Roman"/>
          <w:b w:val="0"/>
          <w:sz w:val="24"/>
          <w:szCs w:val="24"/>
          <w:lang w:val="sr-Cyrl-BA"/>
        </w:rPr>
        <w:t>акционарског друштва и промјена правне форме из акционарског друштва у друштво са ограниченом одговорношћу</w:t>
      </w:r>
    </w:p>
    <w:p w14:paraId="681DE9FB" w14:textId="38306190" w:rsidR="00906C9F" w:rsidRPr="00333009" w:rsidRDefault="0014689B" w:rsidP="006B6E0C">
      <w:pPr>
        <w:spacing w:after="0" w:line="240" w:lineRule="auto"/>
        <w:ind w:firstLine="567"/>
        <w:rPr>
          <w:lang w:val="sr-Cyrl-BA"/>
        </w:rPr>
      </w:pPr>
      <w:r w:rsidRPr="0014689B">
        <w:rPr>
          <w:lang w:val="sr-Cyrl-BA"/>
        </w:rPr>
        <w:t>Уређивањем ове области, створени су предуслови за отворена акционарска друштва која немају интерес или услове за овакву правну форму, да могу да је промијене односно да се искључе из берзанског система трговања</w:t>
      </w:r>
      <w:r w:rsidR="00815F76" w:rsidRPr="008D017C">
        <w:rPr>
          <w:lang w:val="sr-Cyrl-BA"/>
        </w:rPr>
        <w:t xml:space="preserve">. </w:t>
      </w:r>
      <w:bookmarkStart w:id="60" w:name="_Toc321408895"/>
      <w:bookmarkEnd w:id="29"/>
      <w:bookmarkEnd w:id="30"/>
      <w:bookmarkEnd w:id="57"/>
      <w:bookmarkEnd w:id="58"/>
      <w:bookmarkEnd w:id="59"/>
    </w:p>
    <w:p w14:paraId="24CBB6CF"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61" w:name="_Toc167960429"/>
      <w:r w:rsidRPr="00EC6422">
        <w:rPr>
          <w:rFonts w:ascii="Times New Roman" w:hAnsi="Times New Roman"/>
          <w:caps w:val="0"/>
          <w:color w:val="002060"/>
          <w:lang w:val="sr-Cyrl-BA"/>
        </w:rPr>
        <w:t>ИЗДАВАЊЕ ДОЗВОЛА И САГЛАСНОСТИ УЧЕСНИЦИМА НА ТРЖИШТУ</w:t>
      </w:r>
      <w:bookmarkStart w:id="62" w:name="_Toc194970101"/>
      <w:bookmarkStart w:id="63" w:name="_Toc194970139"/>
      <w:bookmarkEnd w:id="60"/>
      <w:bookmarkEnd w:id="61"/>
    </w:p>
    <w:p w14:paraId="3630E3A3" w14:textId="77777777" w:rsidR="000255CC" w:rsidRPr="00EC6422" w:rsidRDefault="000255CC" w:rsidP="006B6E0C">
      <w:pPr>
        <w:pStyle w:val="Heading2"/>
        <w:spacing w:before="240" w:after="0" w:line="240" w:lineRule="auto"/>
        <w:ind w:left="578" w:hanging="578"/>
        <w:rPr>
          <w:rFonts w:ascii="Times New Roman" w:hAnsi="Times New Roman"/>
          <w:sz w:val="24"/>
          <w:lang w:val="sr-Cyrl-BA"/>
        </w:rPr>
      </w:pPr>
      <w:bookmarkStart w:id="64" w:name="_Toc167960430"/>
      <w:r w:rsidRPr="00EC6422">
        <w:rPr>
          <w:rFonts w:ascii="Times New Roman" w:hAnsi="Times New Roman"/>
          <w:sz w:val="24"/>
          <w:lang w:val="sr-Cyrl-BA"/>
        </w:rPr>
        <w:t xml:space="preserve">Издавање дозвола и сагласности учесницима на тржишту </w:t>
      </w:r>
      <w:r w:rsidR="00E735DE" w:rsidRPr="00EC6422">
        <w:rPr>
          <w:rFonts w:ascii="Times New Roman" w:hAnsi="Times New Roman"/>
          <w:sz w:val="24"/>
          <w:lang w:val="sr-Cyrl-BA"/>
        </w:rPr>
        <w:t xml:space="preserve">у складу са </w:t>
      </w:r>
      <w:r w:rsidR="0073226D" w:rsidRPr="00EC6422">
        <w:rPr>
          <w:rFonts w:ascii="Times New Roman" w:hAnsi="Times New Roman"/>
          <w:sz w:val="24"/>
          <w:lang w:val="sr-Cyrl-BA"/>
        </w:rPr>
        <w:t>З</w:t>
      </w:r>
      <w:r w:rsidRPr="00EC6422">
        <w:rPr>
          <w:rFonts w:ascii="Times New Roman" w:hAnsi="Times New Roman"/>
          <w:sz w:val="24"/>
          <w:lang w:val="sr-Cyrl-BA"/>
        </w:rPr>
        <w:t>акон</w:t>
      </w:r>
      <w:r w:rsidR="00E735DE" w:rsidRPr="00EC6422">
        <w:rPr>
          <w:rFonts w:ascii="Times New Roman" w:hAnsi="Times New Roman"/>
          <w:sz w:val="24"/>
          <w:lang w:val="sr-Cyrl-BA"/>
        </w:rPr>
        <w:t>ом</w:t>
      </w:r>
      <w:r w:rsidRPr="00EC6422">
        <w:rPr>
          <w:rFonts w:ascii="Times New Roman" w:hAnsi="Times New Roman"/>
          <w:sz w:val="24"/>
          <w:lang w:val="sr-Cyrl-BA"/>
        </w:rPr>
        <w:t xml:space="preserve"> о тржишту хартија од вриједности</w:t>
      </w:r>
      <w:bookmarkEnd w:id="64"/>
    </w:p>
    <w:p w14:paraId="0C99C626" w14:textId="41F86C20" w:rsidR="000255CC" w:rsidRPr="00EC6422" w:rsidRDefault="000255CC" w:rsidP="006B6E0C">
      <w:pPr>
        <w:spacing w:after="0" w:line="240" w:lineRule="auto"/>
        <w:ind w:firstLine="567"/>
        <w:rPr>
          <w:rFonts w:eastAsia="Times New Roman"/>
          <w:lang w:val="sr-Cyrl-BA" w:eastAsia="sr-Latn-CS"/>
        </w:rPr>
      </w:pPr>
      <w:r w:rsidRPr="00EC6422">
        <w:rPr>
          <w:lang w:val="sr-Cyrl-BA"/>
        </w:rPr>
        <w:t>У складу са Законом о тржишту хартија од вриједности, Комисија за хартије од вриједности је надлежна да даје дозволе за рад, односно пословање (у склопу којих се издају и сагласности на општа акта, те измјене и допуне истих)</w:t>
      </w:r>
      <w:r w:rsidR="008F6836" w:rsidRPr="00EC6422">
        <w:rPr>
          <w:lang w:val="sr-Cyrl-BA"/>
        </w:rPr>
        <w:t>:</w:t>
      </w:r>
      <w:r w:rsidRPr="00EC6422">
        <w:rPr>
          <w:lang w:val="sr-Cyrl-BA"/>
        </w:rPr>
        <w:t xml:space="preserve"> берзанским посредницима,</w:t>
      </w:r>
      <w:r w:rsidR="008F6836" w:rsidRPr="00EC6422">
        <w:rPr>
          <w:lang w:val="sr-Cyrl-BA"/>
        </w:rPr>
        <w:t xml:space="preserve"> </w:t>
      </w:r>
      <w:r w:rsidRPr="00EC6422">
        <w:rPr>
          <w:lang w:val="sr-Cyrl-BA"/>
        </w:rPr>
        <w:t xml:space="preserve">банкама за обављање </w:t>
      </w:r>
      <w:proofErr w:type="spellStart"/>
      <w:r w:rsidRPr="00EC6422">
        <w:rPr>
          <w:lang w:val="sr-Cyrl-BA"/>
        </w:rPr>
        <w:t>кастоди</w:t>
      </w:r>
      <w:proofErr w:type="spellEnd"/>
      <w:r w:rsidRPr="00EC6422">
        <w:rPr>
          <w:lang w:val="sr-Cyrl-BA"/>
        </w:rPr>
        <w:t xml:space="preserve"> послова,</w:t>
      </w:r>
      <w:r w:rsidR="008F6836" w:rsidRPr="00EC6422">
        <w:rPr>
          <w:lang w:val="sr-Cyrl-BA"/>
        </w:rPr>
        <w:t xml:space="preserve"> </w:t>
      </w:r>
      <w:r w:rsidRPr="00EC6422">
        <w:rPr>
          <w:lang w:val="sr-Cyrl-BA"/>
        </w:rPr>
        <w:t>берзи и другом уређеном јавном тржишту,</w:t>
      </w:r>
      <w:r w:rsidR="008F6836" w:rsidRPr="00EC6422">
        <w:rPr>
          <w:lang w:val="sr-Cyrl-BA"/>
        </w:rPr>
        <w:t xml:space="preserve"> </w:t>
      </w:r>
      <w:r w:rsidRPr="00EC6422">
        <w:rPr>
          <w:lang w:val="sr-Cyrl-BA"/>
        </w:rPr>
        <w:t>Централном регистру хартија од вриједности,</w:t>
      </w:r>
      <w:r w:rsidR="008F6836" w:rsidRPr="00EC6422">
        <w:rPr>
          <w:lang w:val="sr-Cyrl-BA"/>
        </w:rPr>
        <w:t xml:space="preserve"> </w:t>
      </w:r>
      <w:r w:rsidRPr="00EC6422">
        <w:rPr>
          <w:lang w:val="sr-Cyrl-BA"/>
        </w:rPr>
        <w:t>као и органима тих друштава (директору, члановима управног одбора, члановима надзорног одбора), те</w:t>
      </w:r>
      <w:r w:rsidR="008F6836" w:rsidRPr="00EC6422">
        <w:rPr>
          <w:lang w:val="sr-Cyrl-BA"/>
        </w:rPr>
        <w:t xml:space="preserve"> </w:t>
      </w:r>
      <w:r w:rsidRPr="00EC6422">
        <w:rPr>
          <w:lang w:val="sr-Cyrl-BA"/>
        </w:rPr>
        <w:t xml:space="preserve">физичким лицима за обављање послова са хартијама од вриједности, код </w:t>
      </w:r>
      <w:r w:rsidR="008F6836" w:rsidRPr="00EC6422">
        <w:rPr>
          <w:lang w:val="sr-Cyrl-BA"/>
        </w:rPr>
        <w:t xml:space="preserve">тих </w:t>
      </w:r>
      <w:r w:rsidRPr="00EC6422">
        <w:rPr>
          <w:lang w:val="sr-Cyrl-BA"/>
        </w:rPr>
        <w:t>правних лица, у сљедећим звањима:</w:t>
      </w:r>
      <w:r w:rsidR="008F6836" w:rsidRPr="00EC6422">
        <w:rPr>
          <w:lang w:val="sr-Cyrl-BA"/>
        </w:rPr>
        <w:t xml:space="preserve"> </w:t>
      </w:r>
      <w:r w:rsidR="007B4320" w:rsidRPr="00EC6422">
        <w:rPr>
          <w:rFonts w:eastAsia="Times New Roman"/>
          <w:lang w:val="sr-Cyrl-BA" w:eastAsia="sr-Latn-CS"/>
        </w:rPr>
        <w:t>брокер</w:t>
      </w:r>
      <w:r w:rsidR="007B4320">
        <w:rPr>
          <w:rFonts w:eastAsia="Times New Roman"/>
          <w:lang w:val="sr-Cyrl-BA" w:eastAsia="sr-Latn-CS"/>
        </w:rPr>
        <w:t>,</w:t>
      </w:r>
      <w:r w:rsidR="007B4320" w:rsidRPr="00EC6422">
        <w:rPr>
          <w:lang w:val="sr-Cyrl-BA"/>
        </w:rPr>
        <w:t xml:space="preserve"> </w:t>
      </w:r>
      <w:r w:rsidRPr="00EC6422">
        <w:rPr>
          <w:lang w:val="sr-Cyrl-BA"/>
        </w:rPr>
        <w:t>инвестициони</w:t>
      </w:r>
      <w:r w:rsidRPr="00EC6422">
        <w:rPr>
          <w:rFonts w:eastAsia="Times New Roman"/>
          <w:lang w:val="sr-Cyrl-BA" w:eastAsia="sr-Latn-CS"/>
        </w:rPr>
        <w:t xml:space="preserve"> савјетник</w:t>
      </w:r>
      <w:r w:rsidR="007B4320">
        <w:rPr>
          <w:rFonts w:eastAsia="Times New Roman"/>
          <w:lang w:val="sr-Cyrl-BA" w:eastAsia="sr-Latn-CS"/>
        </w:rPr>
        <w:t xml:space="preserve"> и</w:t>
      </w:r>
      <w:r w:rsidR="008F6836" w:rsidRPr="00EC6422">
        <w:rPr>
          <w:rFonts w:eastAsia="Times New Roman"/>
          <w:lang w:val="sr-Cyrl-BA" w:eastAsia="sr-Latn-CS"/>
        </w:rPr>
        <w:t xml:space="preserve"> </w:t>
      </w:r>
      <w:r w:rsidRPr="00EC6422">
        <w:rPr>
          <w:lang w:val="sr-Cyrl-BA"/>
        </w:rPr>
        <w:t>инвестициони</w:t>
      </w:r>
      <w:r w:rsidR="007B4320">
        <w:rPr>
          <w:rFonts w:eastAsia="Times New Roman"/>
          <w:lang w:val="sr-Cyrl-BA" w:eastAsia="sr-Latn-CS"/>
        </w:rPr>
        <w:t xml:space="preserve"> менаџер</w:t>
      </w:r>
      <w:r w:rsidRPr="00EC6422">
        <w:rPr>
          <w:rFonts w:eastAsia="Times New Roman"/>
          <w:lang w:val="sr-Cyrl-BA" w:eastAsia="sr-Latn-CS"/>
        </w:rPr>
        <w:t>.</w:t>
      </w:r>
    </w:p>
    <w:p w14:paraId="025362CB" w14:textId="77777777" w:rsidR="000255CC" w:rsidRPr="00EC6422" w:rsidRDefault="000255CC" w:rsidP="006B6E0C">
      <w:pPr>
        <w:spacing w:after="0" w:line="240" w:lineRule="auto"/>
        <w:ind w:firstLine="567"/>
        <w:rPr>
          <w:lang w:val="sr-Cyrl-BA"/>
        </w:rPr>
      </w:pPr>
      <w:r w:rsidRPr="00EC6422">
        <w:rPr>
          <w:lang w:val="sr-Cyrl-BA"/>
        </w:rPr>
        <w:t xml:space="preserve">Комисија издаје дозволу </w:t>
      </w:r>
      <w:r w:rsidR="00F97133" w:rsidRPr="009C0BB3">
        <w:rPr>
          <w:b/>
          <w:lang w:val="sr-Cyrl-BA"/>
        </w:rPr>
        <w:t>берзанским посредницима</w:t>
      </w:r>
      <w:r w:rsidR="00F97133" w:rsidRPr="00EC6422">
        <w:rPr>
          <w:lang w:val="sr-Cyrl-BA"/>
        </w:rPr>
        <w:t xml:space="preserve"> у складу са чланом 62. Закона о тржишту хартија од вриједности, и то </w:t>
      </w:r>
      <w:r w:rsidRPr="00EC6422">
        <w:rPr>
          <w:lang w:val="sr-Cyrl-BA"/>
        </w:rPr>
        <w:t>за</w:t>
      </w:r>
      <w:r w:rsidR="00F97133" w:rsidRPr="00EC6422">
        <w:rPr>
          <w:lang w:val="sr-Cyrl-BA"/>
        </w:rPr>
        <w:t xml:space="preserve"> </w:t>
      </w:r>
      <w:r w:rsidRPr="00EC6422">
        <w:rPr>
          <w:lang w:val="sr-Cyrl-BA"/>
        </w:rPr>
        <w:t>брокерск</w:t>
      </w:r>
      <w:r w:rsidR="00F97133" w:rsidRPr="00EC6422">
        <w:rPr>
          <w:lang w:val="sr-Cyrl-BA"/>
        </w:rPr>
        <w:t xml:space="preserve">е послове, </w:t>
      </w:r>
      <w:proofErr w:type="spellStart"/>
      <w:r w:rsidRPr="00EC6422">
        <w:rPr>
          <w:lang w:val="sr-Cyrl-BA"/>
        </w:rPr>
        <w:t>дилерск</w:t>
      </w:r>
      <w:r w:rsidR="00F97133" w:rsidRPr="00EC6422">
        <w:rPr>
          <w:lang w:val="sr-Cyrl-BA"/>
        </w:rPr>
        <w:t>е</w:t>
      </w:r>
      <w:proofErr w:type="spellEnd"/>
      <w:r w:rsidRPr="00EC6422">
        <w:rPr>
          <w:lang w:val="sr-Cyrl-BA"/>
        </w:rPr>
        <w:t xml:space="preserve"> послов</w:t>
      </w:r>
      <w:r w:rsidR="00F97133" w:rsidRPr="00EC6422">
        <w:rPr>
          <w:lang w:val="sr-Cyrl-BA"/>
        </w:rPr>
        <w:t xml:space="preserve">е, </w:t>
      </w:r>
      <w:r w:rsidRPr="00EC6422">
        <w:rPr>
          <w:lang w:val="sr-Cyrl-BA"/>
        </w:rPr>
        <w:t>послов</w:t>
      </w:r>
      <w:r w:rsidR="00F97133" w:rsidRPr="00EC6422">
        <w:rPr>
          <w:lang w:val="sr-Cyrl-BA"/>
        </w:rPr>
        <w:t>е</w:t>
      </w:r>
      <w:r w:rsidRPr="00EC6422">
        <w:rPr>
          <w:lang w:val="sr-Cyrl-BA"/>
        </w:rPr>
        <w:t xml:space="preserve"> п</w:t>
      </w:r>
      <w:r w:rsidR="00F97133" w:rsidRPr="00EC6422">
        <w:rPr>
          <w:lang w:val="sr-Cyrl-BA"/>
        </w:rPr>
        <w:t xml:space="preserve">одршке тржишту, </w:t>
      </w:r>
      <w:r w:rsidRPr="00EC6422">
        <w:rPr>
          <w:lang w:val="sr-Cyrl-BA"/>
        </w:rPr>
        <w:t>послов</w:t>
      </w:r>
      <w:r w:rsidR="00F97133" w:rsidRPr="00EC6422">
        <w:rPr>
          <w:lang w:val="sr-Cyrl-BA"/>
        </w:rPr>
        <w:t>е</w:t>
      </w:r>
      <w:r w:rsidRPr="00EC6422">
        <w:rPr>
          <w:lang w:val="sr-Cyrl-BA"/>
        </w:rPr>
        <w:t xml:space="preserve"> управљања портфељом</w:t>
      </w:r>
      <w:r w:rsidR="00F97133" w:rsidRPr="00EC6422">
        <w:rPr>
          <w:lang w:val="sr-Cyrl-BA"/>
        </w:rPr>
        <w:t xml:space="preserve">, </w:t>
      </w:r>
      <w:r w:rsidR="009961B6" w:rsidRPr="00EC6422">
        <w:rPr>
          <w:lang w:val="sr-Cyrl-BA"/>
        </w:rPr>
        <w:t>послове</w:t>
      </w:r>
      <w:r w:rsidRPr="00EC6422">
        <w:rPr>
          <w:lang w:val="sr-Cyrl-BA"/>
        </w:rPr>
        <w:t xml:space="preserve"> агента емисије</w:t>
      </w:r>
      <w:r w:rsidR="00F97133" w:rsidRPr="00EC6422">
        <w:rPr>
          <w:lang w:val="sr-Cyrl-BA"/>
        </w:rPr>
        <w:t xml:space="preserve">, </w:t>
      </w:r>
      <w:r w:rsidR="009961B6" w:rsidRPr="00EC6422">
        <w:rPr>
          <w:lang w:val="sr-Cyrl-BA"/>
        </w:rPr>
        <w:t>послове</w:t>
      </w:r>
      <w:r w:rsidRPr="00EC6422">
        <w:rPr>
          <w:lang w:val="sr-Cyrl-BA"/>
        </w:rPr>
        <w:t xml:space="preserve"> преузимања емисије</w:t>
      </w:r>
      <w:r w:rsidR="00F97133" w:rsidRPr="00EC6422">
        <w:rPr>
          <w:lang w:val="sr-Cyrl-BA"/>
        </w:rPr>
        <w:t xml:space="preserve">, </w:t>
      </w:r>
      <w:r w:rsidR="009961B6" w:rsidRPr="00EC6422">
        <w:rPr>
          <w:lang w:val="sr-Cyrl-BA"/>
        </w:rPr>
        <w:t>послове</w:t>
      </w:r>
      <w:r w:rsidRPr="00EC6422">
        <w:rPr>
          <w:lang w:val="sr-Cyrl-BA"/>
        </w:rPr>
        <w:t xml:space="preserve"> инвестиционог савјетовања и</w:t>
      </w:r>
      <w:r w:rsidR="00F97133" w:rsidRPr="00EC6422">
        <w:rPr>
          <w:lang w:val="sr-Cyrl-BA"/>
        </w:rPr>
        <w:t xml:space="preserve"> </w:t>
      </w:r>
      <w:proofErr w:type="spellStart"/>
      <w:r w:rsidRPr="00EC6422">
        <w:rPr>
          <w:lang w:val="sr-Cyrl-BA"/>
        </w:rPr>
        <w:t>кастоди</w:t>
      </w:r>
      <w:proofErr w:type="spellEnd"/>
      <w:r w:rsidRPr="00EC6422">
        <w:rPr>
          <w:lang w:val="sr-Cyrl-BA"/>
        </w:rPr>
        <w:t xml:space="preserve"> послове.</w:t>
      </w:r>
    </w:p>
    <w:p w14:paraId="5401C80F" w14:textId="77777777" w:rsidR="000255CC" w:rsidRDefault="0075526B" w:rsidP="006B6E0C">
      <w:pPr>
        <w:spacing w:after="0" w:line="240" w:lineRule="auto"/>
        <w:ind w:firstLine="567"/>
        <w:rPr>
          <w:lang w:val="sr-Cyrl-BA"/>
        </w:rPr>
      </w:pPr>
      <w:r w:rsidRPr="00EC6422">
        <w:rPr>
          <w:lang w:val="sr-Cyrl-BA"/>
        </w:rPr>
        <w:lastRenderedPageBreak/>
        <w:t>У поступку рјешавања наведених поднесака, Комисија примјењује и одредбе Правилника о пословању берзанских посредника</w:t>
      </w:r>
      <w:r w:rsidR="00B45844">
        <w:rPr>
          <w:rStyle w:val="FootnoteReference"/>
          <w:lang w:val="sr-Cyrl-BA"/>
        </w:rPr>
        <w:footnoteReference w:id="11"/>
      </w:r>
      <w:r w:rsidRPr="00EC6422">
        <w:rPr>
          <w:lang w:val="sr-Cyrl-BA"/>
        </w:rPr>
        <w:t>, те Правилника о условима и поступку издавања дозволе берзанском посреднику за обављање послова са хартијама од вриједности</w:t>
      </w:r>
      <w:r w:rsidR="00B45844">
        <w:rPr>
          <w:rStyle w:val="FootnoteReference"/>
          <w:lang w:val="sr-Cyrl-BA"/>
        </w:rPr>
        <w:footnoteReference w:id="12"/>
      </w:r>
      <w:r w:rsidR="000255CC" w:rsidRPr="00EC6422">
        <w:rPr>
          <w:lang w:val="sr-Cyrl-BA"/>
        </w:rPr>
        <w:t>.</w:t>
      </w:r>
    </w:p>
    <w:tbl>
      <w:tblPr>
        <w:tblStyle w:val="LightGrid-Accent11"/>
        <w:tblpPr w:leftFromText="180" w:rightFromText="180" w:vertAnchor="text" w:horzAnchor="margin" w:tblpY="145"/>
        <w:tblW w:w="9322" w:type="dxa"/>
        <w:tblLayout w:type="fixed"/>
        <w:tblLook w:val="0420" w:firstRow="1" w:lastRow="0" w:firstColumn="0" w:lastColumn="0" w:noHBand="0" w:noVBand="1"/>
      </w:tblPr>
      <w:tblGrid>
        <w:gridCol w:w="392"/>
        <w:gridCol w:w="2835"/>
        <w:gridCol w:w="1276"/>
        <w:gridCol w:w="3543"/>
        <w:gridCol w:w="1276"/>
      </w:tblGrid>
      <w:tr w:rsidR="00DB7B1C" w:rsidRPr="00906C9F" w14:paraId="0695C52F" w14:textId="77777777" w:rsidTr="007B4320">
        <w:trPr>
          <w:cnfStyle w:val="100000000000" w:firstRow="1" w:lastRow="0" w:firstColumn="0" w:lastColumn="0" w:oddVBand="0" w:evenVBand="0" w:oddHBand="0" w:evenHBand="0" w:firstRowFirstColumn="0" w:firstRowLastColumn="0" w:lastRowFirstColumn="0" w:lastRowLastColumn="0"/>
          <w:trHeight w:val="570"/>
        </w:trPr>
        <w:tc>
          <w:tcPr>
            <w:tcW w:w="392" w:type="dxa"/>
            <w:hideMark/>
          </w:tcPr>
          <w:p w14:paraId="2FDF384D" w14:textId="34B99885" w:rsidR="00DB7B1C" w:rsidRPr="00906C9F" w:rsidRDefault="00906C9F" w:rsidP="007B4320">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Р. б</w:t>
            </w:r>
            <w:r w:rsidR="00DB7B1C" w:rsidRPr="00906C9F">
              <w:rPr>
                <w:rFonts w:ascii="Times New Roman" w:eastAsia="Times New Roman" w:hAnsi="Times New Roman" w:cs="Times New Roman"/>
                <w:sz w:val="20"/>
                <w:szCs w:val="20"/>
                <w:lang w:val="sr-Cyrl-BA" w:eastAsia="sr-Latn-CS"/>
              </w:rPr>
              <w:t>.</w:t>
            </w:r>
          </w:p>
        </w:tc>
        <w:tc>
          <w:tcPr>
            <w:tcW w:w="2835" w:type="dxa"/>
            <w:hideMark/>
          </w:tcPr>
          <w:p w14:paraId="217FB9B7"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Назив берзанског посредника</w:t>
            </w:r>
          </w:p>
        </w:tc>
        <w:tc>
          <w:tcPr>
            <w:tcW w:w="1276" w:type="dxa"/>
          </w:tcPr>
          <w:p w14:paraId="3C046FD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Датум оснивања</w:t>
            </w:r>
          </w:p>
        </w:tc>
        <w:tc>
          <w:tcPr>
            <w:tcW w:w="3543" w:type="dxa"/>
            <w:vAlign w:val="center"/>
            <w:hideMark/>
          </w:tcPr>
          <w:p w14:paraId="1143FE40"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обухваћени дозволом</w:t>
            </w:r>
          </w:p>
        </w:tc>
        <w:tc>
          <w:tcPr>
            <w:tcW w:w="1276" w:type="dxa"/>
            <w:vAlign w:val="center"/>
            <w:hideMark/>
          </w:tcPr>
          <w:p w14:paraId="787DA0F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Важење дозволе</w:t>
            </w:r>
          </w:p>
        </w:tc>
      </w:tr>
      <w:tr w:rsidR="00DB7B1C" w:rsidRPr="00906C9F" w14:paraId="1F9D43B0" w14:textId="77777777" w:rsidTr="007B4320">
        <w:trPr>
          <w:cnfStyle w:val="000000100000" w:firstRow="0" w:lastRow="0" w:firstColumn="0" w:lastColumn="0" w:oddVBand="0" w:evenVBand="0" w:oddHBand="1" w:evenHBand="0" w:firstRowFirstColumn="0" w:firstRowLastColumn="0" w:lastRowFirstColumn="0" w:lastRowLastColumn="0"/>
          <w:trHeight w:val="226"/>
        </w:trPr>
        <w:tc>
          <w:tcPr>
            <w:tcW w:w="392" w:type="dxa"/>
            <w:vMerge w:val="restart"/>
            <w:shd w:val="clear" w:color="auto" w:fill="DBE5F1" w:themeFill="accent1" w:themeFillTint="33"/>
            <w:hideMark/>
          </w:tcPr>
          <w:p w14:paraId="3ABA4343"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w:t>
            </w:r>
          </w:p>
        </w:tc>
        <w:tc>
          <w:tcPr>
            <w:tcW w:w="2835" w:type="dxa"/>
            <w:vMerge w:val="restart"/>
            <w:shd w:val="clear" w:color="auto" w:fill="DBE5F1" w:themeFill="accent1" w:themeFillTint="33"/>
            <w:hideMark/>
          </w:tcPr>
          <w:p w14:paraId="74EF4582" w14:textId="68617DF1" w:rsidR="00DB7B1C" w:rsidRPr="00906C9F" w:rsidRDefault="00E2729B" w:rsidP="007B4320">
            <w:pPr>
              <w:spacing w:after="0" w:line="240" w:lineRule="auto"/>
              <w:ind w:firstLine="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 xml:space="preserve">Нова банка </w:t>
            </w:r>
            <w:proofErr w:type="spellStart"/>
            <w:r>
              <w:rPr>
                <w:rFonts w:ascii="Times New Roman" w:eastAsia="Times New Roman" w:hAnsi="Times New Roman" w:cs="Times New Roman"/>
                <w:sz w:val="20"/>
                <w:szCs w:val="20"/>
                <w:lang w:val="sr-Cyrl-BA" w:eastAsia="sr-Latn-CS"/>
              </w:rPr>
              <w:t>а.д</w:t>
            </w:r>
            <w:proofErr w:type="spellEnd"/>
            <w:r>
              <w:rPr>
                <w:rFonts w:ascii="Times New Roman" w:eastAsia="Times New Roman" w:hAnsi="Times New Roman" w:cs="Times New Roman"/>
                <w:sz w:val="20"/>
                <w:szCs w:val="20"/>
                <w:lang w:val="sr-Cyrl-BA" w:eastAsia="sr-Latn-CS"/>
              </w:rPr>
              <w:t xml:space="preserve">. </w:t>
            </w:r>
            <w:r w:rsidR="00DB7B1C" w:rsidRPr="00906C9F">
              <w:rPr>
                <w:rFonts w:ascii="Times New Roman" w:eastAsia="Times New Roman" w:hAnsi="Times New Roman" w:cs="Times New Roman"/>
                <w:sz w:val="20"/>
                <w:szCs w:val="20"/>
                <w:lang w:val="sr-Cyrl-BA" w:eastAsia="sr-Latn-CS"/>
              </w:rPr>
              <w:t>Бања Лука, Филијала за послове са хартијама од вриједности Нова Брокер</w:t>
            </w:r>
          </w:p>
        </w:tc>
        <w:tc>
          <w:tcPr>
            <w:tcW w:w="1276" w:type="dxa"/>
            <w:vMerge w:val="restart"/>
            <w:shd w:val="clear" w:color="auto" w:fill="DBE5F1" w:themeFill="accent1" w:themeFillTint="33"/>
          </w:tcPr>
          <w:p w14:paraId="1A4A901A"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19.04.2001.</w:t>
            </w:r>
          </w:p>
        </w:tc>
        <w:tc>
          <w:tcPr>
            <w:tcW w:w="3543" w:type="dxa"/>
            <w:tcBorders>
              <w:bottom w:val="single" w:sz="2" w:space="0" w:color="365F91" w:themeColor="accent1" w:themeShade="BF"/>
            </w:tcBorders>
            <w:shd w:val="clear" w:color="auto" w:fill="DBE5F1" w:themeFill="accent1" w:themeFillTint="33"/>
            <w:hideMark/>
          </w:tcPr>
          <w:p w14:paraId="3987034C" w14:textId="64243ED5"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 xml:space="preserve">Брокерски </w:t>
            </w:r>
            <w:r w:rsidR="00B81AB5">
              <w:rPr>
                <w:rFonts w:ascii="Times New Roman" w:eastAsia="Times New Roman" w:hAnsi="Times New Roman" w:cs="Times New Roman"/>
                <w:sz w:val="20"/>
                <w:szCs w:val="20"/>
                <w:lang w:val="sr-Cyrl-BA" w:eastAsia="sr-Latn-CS"/>
              </w:rPr>
              <w:t xml:space="preserve">послови </w:t>
            </w:r>
            <w:r w:rsidRPr="00906C9F">
              <w:rPr>
                <w:rFonts w:ascii="Times New Roman" w:eastAsia="Times New Roman" w:hAnsi="Times New Roman" w:cs="Times New Roman"/>
                <w:sz w:val="20"/>
                <w:szCs w:val="20"/>
                <w:lang w:val="sr-Cyrl-BA" w:eastAsia="sr-Latn-CS"/>
              </w:rPr>
              <w:t>и</w:t>
            </w:r>
          </w:p>
        </w:tc>
        <w:tc>
          <w:tcPr>
            <w:tcW w:w="1276" w:type="dxa"/>
            <w:vMerge w:val="restart"/>
            <w:shd w:val="clear" w:color="auto" w:fill="DBE5F1" w:themeFill="accent1" w:themeFillTint="33"/>
            <w:hideMark/>
          </w:tcPr>
          <w:p w14:paraId="0B9649E3" w14:textId="3E4AA2DB" w:rsidR="00DB7B1C" w:rsidRPr="00906C9F" w:rsidRDefault="00434025" w:rsidP="007B4320">
            <w:pPr>
              <w:spacing w:after="0" w:line="240" w:lineRule="auto"/>
              <w:ind w:firstLine="0"/>
              <w:jc w:val="center"/>
              <w:rPr>
                <w:rFonts w:ascii="Times New Roman" w:eastAsia="Times New Roman" w:hAnsi="Times New Roman" w:cs="Times New Roman"/>
                <w:sz w:val="20"/>
                <w:szCs w:val="20"/>
                <w:lang w:val="sr-Cyrl-BA" w:eastAsia="sr-Latn-CS"/>
              </w:rPr>
            </w:pPr>
            <w:r w:rsidRPr="008E1BA7">
              <w:rPr>
                <w:rFonts w:ascii="Times New Roman" w:eastAsia="Times New Roman" w:hAnsi="Times New Roman" w:cs="Times New Roman"/>
                <w:sz w:val="20"/>
                <w:szCs w:val="20"/>
                <w:lang w:val="sr-Cyrl-BA" w:eastAsia="sr-Latn-CS"/>
              </w:rPr>
              <w:t>19.</w:t>
            </w:r>
            <w:r w:rsidRPr="008E1BA7">
              <w:rPr>
                <w:rFonts w:ascii="Times New Roman" w:eastAsia="Times New Roman" w:hAnsi="Times New Roman" w:cs="Times New Roman"/>
                <w:sz w:val="20"/>
                <w:szCs w:val="20"/>
                <w:lang w:val="sr-Latn-BA" w:eastAsia="sr-Latn-CS"/>
              </w:rPr>
              <w:t>0</w:t>
            </w:r>
            <w:r w:rsidRPr="008E1BA7">
              <w:rPr>
                <w:rFonts w:ascii="Times New Roman" w:eastAsia="Times New Roman" w:hAnsi="Times New Roman" w:cs="Times New Roman"/>
                <w:sz w:val="20"/>
                <w:szCs w:val="20"/>
                <w:lang w:val="sr-Cyrl-BA" w:eastAsia="sr-Latn-CS"/>
              </w:rPr>
              <w:t>4.</w:t>
            </w:r>
            <w:r w:rsidR="00BF6D48">
              <w:rPr>
                <w:rFonts w:ascii="Times New Roman" w:eastAsia="Times New Roman" w:hAnsi="Times New Roman" w:cs="Times New Roman"/>
                <w:sz w:val="20"/>
                <w:szCs w:val="20"/>
                <w:lang w:val="en-US" w:eastAsia="sr-Latn-CS"/>
              </w:rPr>
              <w:t>2026</w:t>
            </w:r>
            <w:r w:rsidR="00DB7B1C" w:rsidRPr="00906C9F">
              <w:rPr>
                <w:rFonts w:ascii="Times New Roman" w:eastAsia="Times New Roman" w:hAnsi="Times New Roman" w:cs="Times New Roman"/>
                <w:sz w:val="20"/>
                <w:szCs w:val="20"/>
                <w:lang w:val="sr-Cyrl-BA" w:eastAsia="sr-Latn-CS"/>
              </w:rPr>
              <w:t>.</w:t>
            </w:r>
          </w:p>
        </w:tc>
      </w:tr>
      <w:tr w:rsidR="00DB7B1C" w:rsidRPr="00906C9F" w14:paraId="017EA9E4" w14:textId="77777777" w:rsidTr="007B4320">
        <w:trPr>
          <w:cnfStyle w:val="000000010000" w:firstRow="0" w:lastRow="0" w:firstColumn="0" w:lastColumn="0" w:oddVBand="0" w:evenVBand="0" w:oddHBand="0" w:evenHBand="1" w:firstRowFirstColumn="0" w:firstRowLastColumn="0" w:lastRowFirstColumn="0" w:lastRowLastColumn="0"/>
          <w:trHeight w:val="531"/>
        </w:trPr>
        <w:tc>
          <w:tcPr>
            <w:tcW w:w="392" w:type="dxa"/>
            <w:vMerge/>
          </w:tcPr>
          <w:p w14:paraId="6F3A6F95"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2FD78D42"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7B52E6A1"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tcBorders>
              <w:top w:val="single" w:sz="2" w:space="0" w:color="365F91" w:themeColor="accent1" w:themeShade="BF"/>
            </w:tcBorders>
            <w:shd w:val="clear" w:color="auto" w:fill="DBE5F1" w:themeFill="accent1" w:themeFillTint="33"/>
          </w:tcPr>
          <w:p w14:paraId="36669D88" w14:textId="5D8B6345"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r w:rsidR="00B81AB5">
              <w:rPr>
                <w:rFonts w:ascii="Times New Roman" w:eastAsia="Times New Roman" w:hAnsi="Times New Roman" w:cs="Times New Roman"/>
                <w:sz w:val="20"/>
                <w:szCs w:val="20"/>
                <w:lang w:val="sr-Cyrl-BA" w:eastAsia="sr-Latn-CS"/>
              </w:rPr>
              <w:t>.</w:t>
            </w:r>
          </w:p>
        </w:tc>
        <w:tc>
          <w:tcPr>
            <w:tcW w:w="1276" w:type="dxa"/>
            <w:vMerge/>
          </w:tcPr>
          <w:p w14:paraId="19B64B97"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235BA944" w14:textId="77777777" w:rsidTr="007B4320">
        <w:trPr>
          <w:cnfStyle w:val="000000100000" w:firstRow="0" w:lastRow="0" w:firstColumn="0" w:lastColumn="0" w:oddVBand="0" w:evenVBand="0" w:oddHBand="1" w:evenHBand="0" w:firstRowFirstColumn="0" w:firstRowLastColumn="0" w:lastRowFirstColumn="0" w:lastRowLastColumn="0"/>
          <w:trHeight w:val="103"/>
        </w:trPr>
        <w:tc>
          <w:tcPr>
            <w:tcW w:w="392" w:type="dxa"/>
            <w:vMerge w:val="restart"/>
            <w:shd w:val="clear" w:color="auto" w:fill="auto"/>
            <w:hideMark/>
          </w:tcPr>
          <w:p w14:paraId="73482E9F"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en-GB" w:eastAsia="sr-Latn-CS"/>
              </w:rPr>
            </w:pPr>
            <w:r w:rsidRPr="00906C9F">
              <w:rPr>
                <w:rFonts w:ascii="Times New Roman" w:eastAsia="Times New Roman" w:hAnsi="Times New Roman" w:cs="Times New Roman"/>
                <w:sz w:val="20"/>
                <w:szCs w:val="20"/>
                <w:lang w:val="en-GB" w:eastAsia="sr-Latn-CS"/>
              </w:rPr>
              <w:t>2.</w:t>
            </w:r>
          </w:p>
        </w:tc>
        <w:tc>
          <w:tcPr>
            <w:tcW w:w="2835" w:type="dxa"/>
            <w:vMerge w:val="restart"/>
            <w:shd w:val="clear" w:color="auto" w:fill="auto"/>
            <w:hideMark/>
          </w:tcPr>
          <w:p w14:paraId="33317CB4"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Еуроброкер</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Бања Лука</w:t>
            </w:r>
          </w:p>
        </w:tc>
        <w:tc>
          <w:tcPr>
            <w:tcW w:w="1276" w:type="dxa"/>
            <w:vMerge w:val="restart"/>
            <w:shd w:val="clear" w:color="auto" w:fill="auto"/>
          </w:tcPr>
          <w:p w14:paraId="0C89DCD6" w14:textId="77777777" w:rsidR="00DB7B1C" w:rsidRPr="00906C9F" w:rsidRDefault="00DB7B1C" w:rsidP="007B4320">
            <w:pPr>
              <w:spacing w:after="0" w:line="240" w:lineRule="auto"/>
              <w:ind w:firstLine="0"/>
              <w:jc w:val="center"/>
              <w:rPr>
                <w:rStyle w:val="FontStyle22"/>
                <w:rFonts w:ascii="Times New Roman" w:hAnsi="Times New Roman" w:cs="Times New Roman"/>
                <w:sz w:val="20"/>
                <w:szCs w:val="20"/>
                <w:lang w:val="sr-Cyrl-CS" w:eastAsia="sr-Cyrl-CS"/>
              </w:rPr>
            </w:pPr>
            <w:r w:rsidRPr="00906C9F">
              <w:rPr>
                <w:rStyle w:val="FontStyle22"/>
                <w:rFonts w:ascii="Times New Roman" w:hAnsi="Times New Roman" w:cs="Times New Roman"/>
                <w:sz w:val="20"/>
                <w:szCs w:val="20"/>
                <w:lang w:val="sr-Cyrl-CS" w:eastAsia="sr-Cyrl-CS"/>
              </w:rPr>
              <w:t>24.04.2001.</w:t>
            </w:r>
          </w:p>
        </w:tc>
        <w:tc>
          <w:tcPr>
            <w:tcW w:w="3543" w:type="dxa"/>
            <w:shd w:val="clear" w:color="auto" w:fill="auto"/>
            <w:hideMark/>
          </w:tcPr>
          <w:p w14:paraId="1FE9B03F" w14:textId="20B8D58E"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r w:rsidR="00333009">
              <w:rPr>
                <w:rFonts w:ascii="Times New Roman" w:eastAsia="Times New Roman" w:hAnsi="Times New Roman" w:cs="Times New Roman"/>
                <w:sz w:val="20"/>
                <w:szCs w:val="20"/>
                <w:lang w:val="sr-Cyrl-BA" w:eastAsia="sr-Latn-CS"/>
              </w:rPr>
              <w:t>,</w:t>
            </w:r>
          </w:p>
        </w:tc>
        <w:tc>
          <w:tcPr>
            <w:tcW w:w="1276" w:type="dxa"/>
            <w:vMerge w:val="restart"/>
            <w:shd w:val="clear" w:color="auto" w:fill="auto"/>
            <w:hideMark/>
          </w:tcPr>
          <w:p w14:paraId="631B24B2" w14:textId="2881DFB5"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Style w:val="FontStyle22"/>
                <w:rFonts w:ascii="Times New Roman" w:hAnsi="Times New Roman" w:cs="Times New Roman"/>
                <w:lang w:val="sr-Cyrl-CS" w:eastAsia="sr-Cyrl-CS"/>
              </w:rPr>
              <w:t>12.07.</w:t>
            </w:r>
            <w:r w:rsidR="00BF6D48">
              <w:rPr>
                <w:rStyle w:val="FontStyle22"/>
                <w:rFonts w:ascii="Times New Roman" w:hAnsi="Times New Roman" w:cs="Times New Roman"/>
                <w:lang w:val="en-US" w:eastAsia="sr-Cyrl-CS"/>
              </w:rPr>
              <w:t>2026</w:t>
            </w:r>
            <w:r w:rsidRPr="00906C9F">
              <w:rPr>
                <w:rStyle w:val="FontStyle22"/>
                <w:rFonts w:ascii="Times New Roman" w:hAnsi="Times New Roman" w:cs="Times New Roman"/>
                <w:lang w:val="sr-Cyrl-CS" w:eastAsia="sr-Cyrl-CS"/>
              </w:rPr>
              <w:t xml:space="preserve">. </w:t>
            </w:r>
          </w:p>
        </w:tc>
      </w:tr>
      <w:tr w:rsidR="00DB7B1C" w:rsidRPr="00906C9F" w14:paraId="554ACD45"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0E795F10"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6140959E"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05B8C012" w14:textId="77777777" w:rsidR="00DB7B1C" w:rsidRPr="00906C9F" w:rsidRDefault="00DB7B1C"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1BAD14B5"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shd w:val="clear" w:color="auto" w:fill="FFFFFF" w:themeFill="background1"/>
          </w:tcPr>
          <w:p w14:paraId="5A0036FF" w14:textId="77777777" w:rsidR="00DB7B1C" w:rsidRPr="00906C9F" w:rsidRDefault="00DB7B1C" w:rsidP="007B4320">
            <w:pPr>
              <w:spacing w:after="0" w:line="240" w:lineRule="auto"/>
              <w:ind w:firstLine="0"/>
              <w:jc w:val="center"/>
              <w:rPr>
                <w:rStyle w:val="FontStyle22"/>
                <w:rFonts w:ascii="Times New Roman" w:hAnsi="Times New Roman" w:cs="Times New Roman"/>
                <w:lang w:val="sr-Cyrl-CS" w:eastAsia="sr-Cyrl-CS"/>
              </w:rPr>
            </w:pPr>
          </w:p>
        </w:tc>
      </w:tr>
      <w:tr w:rsidR="00DB7B1C" w:rsidRPr="00906C9F" w14:paraId="2593B1B8"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shd w:val="clear" w:color="auto" w:fill="auto"/>
          </w:tcPr>
          <w:p w14:paraId="31B1BAD7"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0A599DBB"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2B04B752" w14:textId="77777777" w:rsidR="00DB7B1C" w:rsidRPr="00906C9F" w:rsidRDefault="00DB7B1C"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6EF99AF4"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агента емисије и</w:t>
            </w:r>
          </w:p>
        </w:tc>
        <w:tc>
          <w:tcPr>
            <w:tcW w:w="1276" w:type="dxa"/>
            <w:vMerge/>
            <w:shd w:val="clear" w:color="auto" w:fill="FFFFFF" w:themeFill="background1"/>
          </w:tcPr>
          <w:p w14:paraId="78BA7E7E" w14:textId="77777777" w:rsidR="00DB7B1C" w:rsidRPr="00906C9F" w:rsidRDefault="00DB7B1C" w:rsidP="007B4320">
            <w:pPr>
              <w:spacing w:after="0" w:line="240" w:lineRule="auto"/>
              <w:ind w:firstLine="0"/>
              <w:jc w:val="center"/>
              <w:rPr>
                <w:rStyle w:val="FontStyle22"/>
                <w:rFonts w:ascii="Times New Roman" w:hAnsi="Times New Roman" w:cs="Times New Roman"/>
                <w:lang w:val="sr-Cyrl-CS" w:eastAsia="sr-Cyrl-CS"/>
              </w:rPr>
            </w:pPr>
          </w:p>
        </w:tc>
      </w:tr>
      <w:tr w:rsidR="00DB7B1C" w:rsidRPr="00906C9F" w14:paraId="158B66A6"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2E15A2C2"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0F11A7D3"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335FF7BC" w14:textId="77777777" w:rsidR="00DB7B1C" w:rsidRPr="00906C9F" w:rsidRDefault="00DB7B1C"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03AFB5FA" w14:textId="56A55B9F"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r w:rsidR="00333009">
              <w:rPr>
                <w:rFonts w:ascii="Times New Roman" w:eastAsia="Times New Roman" w:hAnsi="Times New Roman" w:cs="Times New Roman"/>
                <w:sz w:val="20"/>
                <w:szCs w:val="20"/>
                <w:lang w:val="sr-Cyrl-BA" w:eastAsia="sr-Latn-CS"/>
              </w:rPr>
              <w:t>.</w:t>
            </w:r>
          </w:p>
        </w:tc>
        <w:tc>
          <w:tcPr>
            <w:tcW w:w="1276" w:type="dxa"/>
            <w:vMerge/>
            <w:shd w:val="clear" w:color="auto" w:fill="FFFFFF" w:themeFill="background1"/>
          </w:tcPr>
          <w:p w14:paraId="06E4E0A9" w14:textId="77777777" w:rsidR="00DB7B1C" w:rsidRPr="00906C9F" w:rsidRDefault="00DB7B1C" w:rsidP="007B4320">
            <w:pPr>
              <w:spacing w:after="0" w:line="240" w:lineRule="auto"/>
              <w:ind w:firstLine="0"/>
              <w:jc w:val="center"/>
              <w:rPr>
                <w:rStyle w:val="FontStyle22"/>
                <w:rFonts w:ascii="Times New Roman" w:hAnsi="Times New Roman" w:cs="Times New Roman"/>
                <w:lang w:val="sr-Cyrl-CS" w:eastAsia="sr-Cyrl-CS"/>
              </w:rPr>
            </w:pPr>
          </w:p>
        </w:tc>
      </w:tr>
      <w:tr w:rsidR="007B4320" w:rsidRPr="00906C9F" w14:paraId="6BBBB821" w14:textId="77777777" w:rsidTr="007B4320">
        <w:trPr>
          <w:cnfStyle w:val="000000100000" w:firstRow="0" w:lastRow="0" w:firstColumn="0" w:lastColumn="0" w:oddVBand="0" w:evenVBand="0" w:oddHBand="1" w:evenHBand="0" w:firstRowFirstColumn="0" w:firstRowLastColumn="0" w:lastRowFirstColumn="0" w:lastRowLastColumn="0"/>
          <w:trHeight w:val="236"/>
        </w:trPr>
        <w:tc>
          <w:tcPr>
            <w:tcW w:w="392" w:type="dxa"/>
            <w:vMerge w:val="restart"/>
            <w:shd w:val="clear" w:color="auto" w:fill="DBE5F1" w:themeFill="accent1" w:themeFillTint="33"/>
            <w:hideMark/>
          </w:tcPr>
          <w:p w14:paraId="1FEDAB13" w14:textId="77777777"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3.</w:t>
            </w:r>
          </w:p>
        </w:tc>
        <w:tc>
          <w:tcPr>
            <w:tcW w:w="2835" w:type="dxa"/>
            <w:vMerge w:val="restart"/>
            <w:shd w:val="clear" w:color="auto" w:fill="DBE5F1" w:themeFill="accent1" w:themeFillTint="33"/>
            <w:hideMark/>
          </w:tcPr>
          <w:p w14:paraId="7BC8B74A"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Монет</w:t>
            </w:r>
            <w:proofErr w:type="spellEnd"/>
            <w:r w:rsidRPr="00906C9F">
              <w:rPr>
                <w:rFonts w:ascii="Times New Roman" w:eastAsia="Times New Roman" w:hAnsi="Times New Roman" w:cs="Times New Roman"/>
                <w:sz w:val="20"/>
                <w:szCs w:val="20"/>
                <w:lang w:val="sr-Cyrl-BA" w:eastAsia="sr-Latn-CS"/>
              </w:rPr>
              <w:t xml:space="preserve"> Брокер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5E2C8559"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vMerge w:val="restart"/>
            <w:shd w:val="clear" w:color="auto" w:fill="DBE5F1" w:themeFill="accent1" w:themeFillTint="33"/>
          </w:tcPr>
          <w:p w14:paraId="6D047DB9" w14:textId="77777777"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18.01.2007.</w:t>
            </w:r>
          </w:p>
        </w:tc>
        <w:tc>
          <w:tcPr>
            <w:tcW w:w="3543" w:type="dxa"/>
            <w:tcBorders>
              <w:bottom w:val="single" w:sz="2" w:space="0" w:color="365F91" w:themeColor="accent1" w:themeShade="BF"/>
            </w:tcBorders>
            <w:shd w:val="clear" w:color="auto" w:fill="DBE5F1" w:themeFill="accent1" w:themeFillTint="33"/>
            <w:hideMark/>
          </w:tcPr>
          <w:p w14:paraId="60580C9B"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vMerge w:val="restart"/>
            <w:shd w:val="clear" w:color="auto" w:fill="DBE5F1" w:themeFill="accent1" w:themeFillTint="33"/>
            <w:hideMark/>
          </w:tcPr>
          <w:p w14:paraId="2CE86D74" w14:textId="2B8496D2"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03.12.2024.</w:t>
            </w:r>
          </w:p>
        </w:tc>
      </w:tr>
      <w:tr w:rsidR="007B4320" w:rsidRPr="00906C9F" w14:paraId="6509A0A9" w14:textId="77777777" w:rsidTr="007B4320">
        <w:trPr>
          <w:cnfStyle w:val="000000010000" w:firstRow="0" w:lastRow="0" w:firstColumn="0" w:lastColumn="0" w:oddVBand="0" w:evenVBand="0" w:oddHBand="0" w:evenHBand="1" w:firstRowFirstColumn="0" w:firstRowLastColumn="0" w:lastRowFirstColumn="0" w:lastRowLastColumn="0"/>
          <w:trHeight w:val="245"/>
        </w:trPr>
        <w:tc>
          <w:tcPr>
            <w:tcW w:w="392" w:type="dxa"/>
            <w:vMerge/>
            <w:shd w:val="clear" w:color="auto" w:fill="DBE5F1" w:themeFill="accent1" w:themeFillTint="33"/>
          </w:tcPr>
          <w:p w14:paraId="1B93C4A6" w14:textId="77777777"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tcPr>
          <w:p w14:paraId="0EEBD51F"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085BBE50" w14:textId="77777777"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tcBorders>
              <w:top w:val="single" w:sz="2" w:space="0" w:color="365F91" w:themeColor="accent1" w:themeShade="BF"/>
            </w:tcBorders>
            <w:shd w:val="clear" w:color="auto" w:fill="DBE5F1" w:themeFill="accent1" w:themeFillTint="33"/>
          </w:tcPr>
          <w:p w14:paraId="42A0B171"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shd w:val="clear" w:color="auto" w:fill="DBE5F1" w:themeFill="accent1" w:themeFillTint="33"/>
          </w:tcPr>
          <w:p w14:paraId="29C4269A" w14:textId="31BF4DF8"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7B4320" w:rsidRPr="00906C9F" w14:paraId="2271D6D5" w14:textId="77777777" w:rsidTr="007B4320">
        <w:trPr>
          <w:cnfStyle w:val="000000100000" w:firstRow="0" w:lastRow="0" w:firstColumn="0" w:lastColumn="0" w:oddVBand="0" w:evenVBand="0" w:oddHBand="1" w:evenHBand="0" w:firstRowFirstColumn="0" w:firstRowLastColumn="0" w:lastRowFirstColumn="0" w:lastRowLastColumn="0"/>
          <w:trHeight w:val="159"/>
        </w:trPr>
        <w:tc>
          <w:tcPr>
            <w:tcW w:w="392" w:type="dxa"/>
            <w:vMerge/>
            <w:shd w:val="clear" w:color="auto" w:fill="DBE5F1" w:themeFill="accent1" w:themeFillTint="33"/>
            <w:hideMark/>
          </w:tcPr>
          <w:p w14:paraId="3D654E82"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hideMark/>
          </w:tcPr>
          <w:p w14:paraId="7281A644"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72D4851F"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hideMark/>
          </w:tcPr>
          <w:p w14:paraId="5E03F138"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агента емисије и</w:t>
            </w:r>
          </w:p>
        </w:tc>
        <w:tc>
          <w:tcPr>
            <w:tcW w:w="1276" w:type="dxa"/>
            <w:vMerge/>
            <w:shd w:val="clear" w:color="auto" w:fill="DBE5F1" w:themeFill="accent1" w:themeFillTint="33"/>
            <w:hideMark/>
          </w:tcPr>
          <w:p w14:paraId="5849CE07" w14:textId="3842ED1D"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7B4320" w:rsidRPr="00906C9F" w14:paraId="20850457" w14:textId="77777777" w:rsidTr="007B4320">
        <w:trPr>
          <w:cnfStyle w:val="000000010000" w:firstRow="0" w:lastRow="0" w:firstColumn="0" w:lastColumn="0" w:oddVBand="0" w:evenVBand="0" w:oddHBand="0" w:evenHBand="1" w:firstRowFirstColumn="0" w:firstRowLastColumn="0" w:lastRowFirstColumn="0" w:lastRowLastColumn="0"/>
          <w:trHeight w:val="193"/>
        </w:trPr>
        <w:tc>
          <w:tcPr>
            <w:tcW w:w="392" w:type="dxa"/>
            <w:vMerge/>
            <w:shd w:val="clear" w:color="auto" w:fill="DBE5F1" w:themeFill="accent1" w:themeFillTint="33"/>
            <w:hideMark/>
          </w:tcPr>
          <w:p w14:paraId="044B7FA0"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hideMark/>
          </w:tcPr>
          <w:p w14:paraId="5F6BD339"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46931117"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hideMark/>
          </w:tcPr>
          <w:p w14:paraId="130381F7" w14:textId="77777777" w:rsidR="007B4320" w:rsidRPr="00906C9F" w:rsidRDefault="007B4320"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p>
        </w:tc>
        <w:tc>
          <w:tcPr>
            <w:tcW w:w="1276" w:type="dxa"/>
            <w:vMerge/>
            <w:shd w:val="clear" w:color="auto" w:fill="DBE5F1" w:themeFill="accent1" w:themeFillTint="33"/>
            <w:hideMark/>
          </w:tcPr>
          <w:p w14:paraId="089D95B5" w14:textId="1C7D9AC5" w:rsidR="007B4320"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6551A225" w14:textId="77777777" w:rsidTr="007B4320">
        <w:trPr>
          <w:cnfStyle w:val="000000100000" w:firstRow="0" w:lastRow="0" w:firstColumn="0" w:lastColumn="0" w:oddVBand="0" w:evenVBand="0" w:oddHBand="1" w:evenHBand="0" w:firstRowFirstColumn="0" w:firstRowLastColumn="0" w:lastRowFirstColumn="0" w:lastRowLastColumn="0"/>
          <w:trHeight w:val="357"/>
        </w:trPr>
        <w:tc>
          <w:tcPr>
            <w:tcW w:w="392" w:type="dxa"/>
            <w:shd w:val="clear" w:color="auto" w:fill="FFFFFF" w:themeFill="background1"/>
            <w:hideMark/>
          </w:tcPr>
          <w:p w14:paraId="2A04514D"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4.</w:t>
            </w:r>
          </w:p>
        </w:tc>
        <w:tc>
          <w:tcPr>
            <w:tcW w:w="2835" w:type="dxa"/>
            <w:shd w:val="clear" w:color="auto" w:fill="FFFFFF" w:themeFill="background1"/>
            <w:hideMark/>
          </w:tcPr>
          <w:p w14:paraId="02AFCCB2"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B47DBC">
              <w:rPr>
                <w:rFonts w:ascii="Times New Roman" w:eastAsia="Times New Roman" w:hAnsi="Times New Roman" w:cs="Times New Roman"/>
                <w:sz w:val="20"/>
                <w:szCs w:val="20"/>
                <w:lang w:val="en-US" w:eastAsia="sr-Latn-CS"/>
              </w:rPr>
              <w:t>Raiffeisen Capital</w:t>
            </w:r>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2D4C7459"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shd w:val="clear" w:color="auto" w:fill="FFFFFF" w:themeFill="background1"/>
          </w:tcPr>
          <w:p w14:paraId="69185033"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02.02.2007.</w:t>
            </w:r>
          </w:p>
        </w:tc>
        <w:tc>
          <w:tcPr>
            <w:tcW w:w="3543" w:type="dxa"/>
            <w:shd w:val="clear" w:color="auto" w:fill="FFFFFF" w:themeFill="background1"/>
            <w:hideMark/>
          </w:tcPr>
          <w:p w14:paraId="64C9AB83"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shd w:val="clear" w:color="auto" w:fill="FFFFFF" w:themeFill="background1"/>
            <w:hideMark/>
          </w:tcPr>
          <w:p w14:paraId="27C5AB84" w14:textId="2ACF461A" w:rsidR="00DB7B1C" w:rsidRPr="00906C9F" w:rsidRDefault="007B4320" w:rsidP="007B4320">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29.01.2025</w:t>
            </w:r>
            <w:r w:rsidRPr="00822710">
              <w:rPr>
                <w:rFonts w:ascii="Times New Roman" w:eastAsia="Times New Roman" w:hAnsi="Times New Roman" w:cs="Times New Roman"/>
                <w:sz w:val="20"/>
                <w:szCs w:val="20"/>
                <w:lang w:val="sr-Cyrl-BA" w:eastAsia="sr-Latn-CS"/>
              </w:rPr>
              <w:t>.</w:t>
            </w:r>
          </w:p>
        </w:tc>
      </w:tr>
      <w:tr w:rsidR="00DB7B1C" w:rsidRPr="00906C9F" w14:paraId="60985D82"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val="restart"/>
            <w:shd w:val="clear" w:color="auto" w:fill="DBE5F1" w:themeFill="accent1" w:themeFillTint="33"/>
          </w:tcPr>
          <w:p w14:paraId="07C65251"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5.</w:t>
            </w:r>
          </w:p>
        </w:tc>
        <w:tc>
          <w:tcPr>
            <w:tcW w:w="2835" w:type="dxa"/>
            <w:vMerge w:val="restart"/>
            <w:shd w:val="clear" w:color="auto" w:fill="DBE5F1" w:themeFill="accent1" w:themeFillTint="33"/>
          </w:tcPr>
          <w:p w14:paraId="5E509DFA"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Advantis</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Broker</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55C974A2"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vMerge w:val="restart"/>
            <w:shd w:val="clear" w:color="auto" w:fill="DBE5F1" w:themeFill="accent1" w:themeFillTint="33"/>
          </w:tcPr>
          <w:p w14:paraId="2C8C4B83"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05.03.2007.</w:t>
            </w:r>
          </w:p>
        </w:tc>
        <w:tc>
          <w:tcPr>
            <w:tcW w:w="3543" w:type="dxa"/>
            <w:shd w:val="clear" w:color="auto" w:fill="DBE5F1" w:themeFill="accent1" w:themeFillTint="33"/>
          </w:tcPr>
          <w:p w14:paraId="1D39A035"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vMerge w:val="restart"/>
            <w:shd w:val="clear" w:color="auto" w:fill="DBE5F1" w:themeFill="accent1" w:themeFillTint="33"/>
          </w:tcPr>
          <w:p w14:paraId="46C3CCE6" w14:textId="3057DB04"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22.12.</w:t>
            </w:r>
            <w:r w:rsidR="00BF6D48">
              <w:rPr>
                <w:rFonts w:ascii="Times New Roman" w:eastAsia="Times New Roman" w:hAnsi="Times New Roman" w:cs="Times New Roman"/>
                <w:sz w:val="20"/>
                <w:szCs w:val="20"/>
                <w:lang w:val="en-US" w:eastAsia="sr-Latn-CS"/>
              </w:rPr>
              <w:t>2026</w:t>
            </w:r>
            <w:r w:rsidRPr="00906C9F">
              <w:rPr>
                <w:rFonts w:ascii="Times New Roman" w:eastAsia="Times New Roman" w:hAnsi="Times New Roman" w:cs="Times New Roman"/>
                <w:sz w:val="20"/>
                <w:szCs w:val="20"/>
                <w:lang w:val="sr-Cyrl-BA" w:eastAsia="sr-Latn-CS"/>
              </w:rPr>
              <w:t>.</w:t>
            </w:r>
          </w:p>
        </w:tc>
      </w:tr>
      <w:tr w:rsidR="00DB7B1C" w:rsidRPr="00906C9F" w14:paraId="57E4863C" w14:textId="77777777" w:rsidTr="007B4320">
        <w:trPr>
          <w:cnfStyle w:val="000000100000" w:firstRow="0" w:lastRow="0" w:firstColumn="0" w:lastColumn="0" w:oddVBand="0" w:evenVBand="0" w:oddHBand="1" w:evenHBand="0" w:firstRowFirstColumn="0" w:firstRowLastColumn="0" w:lastRowFirstColumn="0" w:lastRowLastColumn="0"/>
          <w:trHeight w:val="99"/>
        </w:trPr>
        <w:tc>
          <w:tcPr>
            <w:tcW w:w="392" w:type="dxa"/>
            <w:vMerge/>
          </w:tcPr>
          <w:p w14:paraId="504828C8"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7B51515A"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79AADB95"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2AB6E6EE"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tcPr>
          <w:p w14:paraId="45C5FF6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4AE7381A" w14:textId="77777777" w:rsidTr="007B4320">
        <w:trPr>
          <w:cnfStyle w:val="000000010000" w:firstRow="0" w:lastRow="0" w:firstColumn="0" w:lastColumn="0" w:oddVBand="0" w:evenVBand="0" w:oddHBand="0" w:evenHBand="1" w:firstRowFirstColumn="0" w:firstRowLastColumn="0" w:lastRowFirstColumn="0" w:lastRowLastColumn="0"/>
          <w:trHeight w:val="238"/>
        </w:trPr>
        <w:tc>
          <w:tcPr>
            <w:tcW w:w="392" w:type="dxa"/>
            <w:vMerge/>
          </w:tcPr>
          <w:p w14:paraId="74FE87E1"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63AFCC01"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6A323992"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23D795DE"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управљања портфељом,</w:t>
            </w:r>
          </w:p>
        </w:tc>
        <w:tc>
          <w:tcPr>
            <w:tcW w:w="1276" w:type="dxa"/>
            <w:vMerge/>
          </w:tcPr>
          <w:p w14:paraId="209D3AD8"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2322146E"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236009CD"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3664B479"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506C45DF"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64C15387"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агента емисије,</w:t>
            </w:r>
          </w:p>
        </w:tc>
        <w:tc>
          <w:tcPr>
            <w:tcW w:w="1276" w:type="dxa"/>
            <w:vMerge/>
          </w:tcPr>
          <w:p w14:paraId="67AE41E0"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25E248B0"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tcPr>
          <w:p w14:paraId="6D768292"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767C073C"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0F2E6DB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033445D3"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подршке тржишту и</w:t>
            </w:r>
          </w:p>
        </w:tc>
        <w:tc>
          <w:tcPr>
            <w:tcW w:w="1276" w:type="dxa"/>
            <w:vMerge/>
          </w:tcPr>
          <w:p w14:paraId="07676D8C"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B7B1C" w:rsidRPr="00906C9F" w14:paraId="40C8C929"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750B5494"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4EB89BC0"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1B3BFF13"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67B54C13"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p>
        </w:tc>
        <w:tc>
          <w:tcPr>
            <w:tcW w:w="1276" w:type="dxa"/>
            <w:vMerge/>
          </w:tcPr>
          <w:p w14:paraId="31345C61"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bl>
    <w:p w14:paraId="548C5E8B" w14:textId="6B3C7D2D" w:rsidR="000255CC" w:rsidRPr="00EC6422" w:rsidRDefault="000255CC" w:rsidP="006B6E0C">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10</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 xml:space="preserve">. </w:t>
      </w:r>
      <w:r w:rsidRPr="00EC6422">
        <w:rPr>
          <w:rFonts w:ascii="Times New Roman" w:hAnsi="Times New Roman"/>
          <w:b w:val="0"/>
          <w:noProof/>
          <w:sz w:val="24"/>
          <w:szCs w:val="24"/>
          <w:lang w:val="sr-Cyrl-BA"/>
        </w:rPr>
        <w:tab/>
        <w:t>Преглед берзанских посредника који су имали дозволу за обављање послова са хартијама од вриједности на дан 31.12.</w:t>
      </w:r>
      <w:r w:rsidR="00BF6D48">
        <w:rPr>
          <w:rFonts w:ascii="Times New Roman" w:hAnsi="Times New Roman"/>
          <w:b w:val="0"/>
          <w:noProof/>
          <w:sz w:val="24"/>
          <w:szCs w:val="24"/>
          <w:lang w:val="sr-Latn-BA"/>
        </w:rPr>
        <w:t>2023</w:t>
      </w:r>
      <w:r w:rsidRPr="00EC6422">
        <w:rPr>
          <w:rFonts w:ascii="Times New Roman" w:hAnsi="Times New Roman"/>
          <w:b w:val="0"/>
          <w:noProof/>
          <w:sz w:val="24"/>
          <w:szCs w:val="24"/>
          <w:lang w:val="sr-Cyrl-BA"/>
        </w:rPr>
        <w:t>. године</w:t>
      </w:r>
    </w:p>
    <w:p w14:paraId="675F328B" w14:textId="2A1EA319" w:rsidR="000A0529" w:rsidRPr="009C0BB3" w:rsidRDefault="00434025" w:rsidP="006B6E0C">
      <w:pPr>
        <w:spacing w:line="240" w:lineRule="auto"/>
        <w:ind w:firstLine="567"/>
        <w:rPr>
          <w:rFonts w:eastAsia="Times New Roman"/>
          <w:lang w:val="sr-Cyrl-BA"/>
        </w:rPr>
      </w:pPr>
      <w:r w:rsidRPr="004448F0">
        <w:rPr>
          <w:lang w:val="sr-Cyrl-BA"/>
        </w:rPr>
        <w:t xml:space="preserve">У </w:t>
      </w:r>
      <w:r w:rsidRPr="008E1BA7">
        <w:rPr>
          <w:lang w:val="sr-Cyrl-BA"/>
        </w:rPr>
        <w:t>20</w:t>
      </w:r>
      <w:r w:rsidRPr="008E1BA7">
        <w:rPr>
          <w:lang w:val="sr-Latn-BA"/>
        </w:rPr>
        <w:t>2</w:t>
      </w:r>
      <w:r w:rsidR="00BF6D48">
        <w:t>3</w:t>
      </w:r>
      <w:r w:rsidR="000A0529">
        <w:rPr>
          <w:lang w:val="sr-Cyrl-BA"/>
        </w:rPr>
        <w:t xml:space="preserve">. години </w:t>
      </w:r>
      <w:r w:rsidR="00BF6D48" w:rsidRPr="006952C4">
        <w:rPr>
          <w:rFonts w:eastAsia="Times New Roman"/>
          <w:lang w:val="sr-Cyrl-BA"/>
        </w:rPr>
        <w:t>донесен</w:t>
      </w:r>
      <w:r w:rsidR="00BF6D48">
        <w:rPr>
          <w:rFonts w:eastAsia="Times New Roman"/>
          <w:lang w:val="sr-Latn-BA"/>
        </w:rPr>
        <w:t>o</w:t>
      </w:r>
      <w:r w:rsidR="00BF6D48" w:rsidRPr="006952C4">
        <w:rPr>
          <w:rFonts w:eastAsia="Times New Roman"/>
          <w:lang w:val="sr-Cyrl-BA"/>
        </w:rPr>
        <w:t xml:space="preserve"> је </w:t>
      </w:r>
      <w:r w:rsidR="00BF6D48">
        <w:rPr>
          <w:rFonts w:eastAsia="Times New Roman"/>
          <w:lang w:val="sr-Cyrl-BA"/>
        </w:rPr>
        <w:t>рјешење,</w:t>
      </w:r>
      <w:r w:rsidR="00BF6D48" w:rsidRPr="006952C4">
        <w:rPr>
          <w:rFonts w:eastAsia="Times New Roman"/>
        </w:rPr>
        <w:t xml:space="preserve"> </w:t>
      </w:r>
      <w:r w:rsidR="00BF6D48" w:rsidRPr="009C0BB3">
        <w:rPr>
          <w:rFonts w:eastAsia="Times New Roman"/>
          <w:lang w:val="sr-Cyrl-BA"/>
        </w:rPr>
        <w:t xml:space="preserve">којим Друштву за пословање са хартијама од вриједности "ALPHA CAPITAL MANAGEMENT" </w:t>
      </w:r>
      <w:proofErr w:type="spellStart"/>
      <w:r w:rsidR="00BF6D48" w:rsidRPr="009C0BB3">
        <w:rPr>
          <w:rFonts w:eastAsia="Times New Roman"/>
          <w:lang w:val="sr-Cyrl-BA"/>
        </w:rPr>
        <w:t>а.д</w:t>
      </w:r>
      <w:proofErr w:type="spellEnd"/>
      <w:r w:rsidR="00BF6D48" w:rsidRPr="009C0BB3">
        <w:rPr>
          <w:rFonts w:eastAsia="Times New Roman"/>
          <w:lang w:val="sr-Cyrl-BA"/>
        </w:rPr>
        <w:t>. Бања Лука престаје да важи дозвола за пословање са хартијама од вриједности</w:t>
      </w:r>
      <w:r w:rsidR="000A0529" w:rsidRPr="009C0BB3">
        <w:rPr>
          <w:rFonts w:eastAsia="Times New Roman"/>
          <w:lang w:val="sr-Cyrl-BA"/>
        </w:rPr>
        <w:t>.</w:t>
      </w:r>
      <w:r w:rsidR="00BF6D48" w:rsidRPr="009C0BB3">
        <w:rPr>
          <w:rFonts w:eastAsia="Times New Roman"/>
          <w:lang w:val="sr-Cyrl-BA"/>
        </w:rPr>
        <w:t xml:space="preserve"> </w:t>
      </w:r>
    </w:p>
    <w:p w14:paraId="7EDB1C6A" w14:textId="14EB75FE" w:rsidR="00BF6D48" w:rsidRPr="009C0BB3" w:rsidRDefault="00BF6D48" w:rsidP="00BF6D48">
      <w:pPr>
        <w:spacing w:line="240" w:lineRule="auto"/>
        <w:ind w:firstLine="567"/>
        <w:rPr>
          <w:rFonts w:eastAsia="Times New Roman"/>
          <w:lang w:val="sr-Cyrl-BA"/>
        </w:rPr>
      </w:pPr>
      <w:r w:rsidRPr="009C0BB3">
        <w:rPr>
          <w:lang w:val="sr-Cyrl-BA"/>
        </w:rPr>
        <w:t xml:space="preserve">У 2023. години </w:t>
      </w:r>
      <w:r w:rsidRPr="009C0BB3">
        <w:rPr>
          <w:rFonts w:eastAsia="Times New Roman"/>
          <w:lang w:val="sr-Cyrl-BA"/>
        </w:rPr>
        <w:t xml:space="preserve">издата је дозвола за обављање брокерских и </w:t>
      </w:r>
      <w:proofErr w:type="spellStart"/>
      <w:r w:rsidRPr="009C0BB3">
        <w:rPr>
          <w:rFonts w:eastAsia="Times New Roman"/>
          <w:lang w:val="sr-Cyrl-BA"/>
        </w:rPr>
        <w:t>дилерских</w:t>
      </w:r>
      <w:proofErr w:type="spellEnd"/>
      <w:r w:rsidRPr="009C0BB3">
        <w:rPr>
          <w:rFonts w:eastAsia="Times New Roman"/>
          <w:lang w:val="sr-Cyrl-BA"/>
        </w:rPr>
        <w:t xml:space="preserve"> послова Новој банци </w:t>
      </w:r>
      <w:proofErr w:type="spellStart"/>
      <w:r w:rsidRPr="009C0BB3">
        <w:rPr>
          <w:rFonts w:eastAsia="Times New Roman"/>
          <w:lang w:val="sr-Cyrl-BA"/>
        </w:rPr>
        <w:t>а.д</w:t>
      </w:r>
      <w:proofErr w:type="spellEnd"/>
      <w:r w:rsidRPr="009C0BB3">
        <w:rPr>
          <w:rFonts w:eastAsia="Times New Roman"/>
          <w:lang w:val="sr-Cyrl-BA"/>
        </w:rPr>
        <w:t xml:space="preserve">. Бања Лука, Филијала за пословање са хартијама од вриједности. Такође, продужена је дозвола за обављање послова са хартијама од вриједности </w:t>
      </w:r>
      <w:r w:rsidR="009C0BB3">
        <w:rPr>
          <w:rFonts w:eastAsia="Times New Roman"/>
          <w:lang w:val="sr-Cyrl-BA"/>
        </w:rPr>
        <w:t>Б</w:t>
      </w:r>
      <w:r w:rsidRPr="009C0BB3">
        <w:rPr>
          <w:rFonts w:eastAsia="Times New Roman"/>
          <w:lang w:val="sr-Cyrl-BA"/>
        </w:rPr>
        <w:t>рокерско-</w:t>
      </w:r>
      <w:proofErr w:type="spellStart"/>
      <w:r w:rsidRPr="009C0BB3">
        <w:rPr>
          <w:rFonts w:eastAsia="Times New Roman"/>
          <w:lang w:val="sr-Cyrl-BA"/>
        </w:rPr>
        <w:t>дилерском</w:t>
      </w:r>
      <w:proofErr w:type="spellEnd"/>
      <w:r w:rsidRPr="009C0BB3">
        <w:rPr>
          <w:rFonts w:eastAsia="Times New Roman"/>
          <w:lang w:val="sr-Cyrl-BA"/>
        </w:rPr>
        <w:t xml:space="preserve"> друштву </w:t>
      </w:r>
      <w:proofErr w:type="spellStart"/>
      <w:r w:rsidRPr="009C0BB3">
        <w:rPr>
          <w:rFonts w:eastAsia="Times New Roman"/>
          <w:lang w:val="sr-Cyrl-BA"/>
        </w:rPr>
        <w:t>Еуроброкер</w:t>
      </w:r>
      <w:proofErr w:type="spellEnd"/>
      <w:r w:rsidRPr="009C0BB3">
        <w:rPr>
          <w:rFonts w:eastAsia="Times New Roman"/>
          <w:lang w:val="sr-Cyrl-BA"/>
        </w:rPr>
        <w:t xml:space="preserve"> </w:t>
      </w:r>
      <w:proofErr w:type="spellStart"/>
      <w:r w:rsidRPr="009C0BB3">
        <w:rPr>
          <w:rFonts w:eastAsia="Times New Roman"/>
          <w:lang w:val="sr-Cyrl-BA"/>
        </w:rPr>
        <w:t>а.д</w:t>
      </w:r>
      <w:proofErr w:type="spellEnd"/>
      <w:r w:rsidRPr="009C0BB3">
        <w:rPr>
          <w:rFonts w:eastAsia="Times New Roman"/>
          <w:lang w:val="sr-Cyrl-BA"/>
        </w:rPr>
        <w:t xml:space="preserve">. Бања Лука </w:t>
      </w:r>
      <w:r w:rsidR="009C0BB3">
        <w:rPr>
          <w:rFonts w:eastAsia="Times New Roman"/>
          <w:lang w:val="sr-Cyrl-BA"/>
        </w:rPr>
        <w:t>Б</w:t>
      </w:r>
      <w:r w:rsidRPr="009C0BB3">
        <w:rPr>
          <w:rFonts w:eastAsia="Times New Roman"/>
          <w:lang w:val="sr-Cyrl-BA"/>
        </w:rPr>
        <w:t>рокерско-</w:t>
      </w:r>
      <w:proofErr w:type="spellStart"/>
      <w:r w:rsidRPr="009C0BB3">
        <w:rPr>
          <w:rFonts w:eastAsia="Times New Roman"/>
          <w:lang w:val="sr-Cyrl-BA"/>
        </w:rPr>
        <w:t>дилерском</w:t>
      </w:r>
      <w:proofErr w:type="spellEnd"/>
      <w:r w:rsidRPr="009C0BB3">
        <w:rPr>
          <w:rFonts w:eastAsia="Times New Roman"/>
          <w:lang w:val="sr-Cyrl-BA"/>
        </w:rPr>
        <w:t xml:space="preserve"> друштву </w:t>
      </w:r>
      <w:proofErr w:type="spellStart"/>
      <w:r w:rsidRPr="009C0BB3">
        <w:rPr>
          <w:rFonts w:eastAsia="Times New Roman"/>
          <w:lang w:val="sr-Cyrl-BA"/>
        </w:rPr>
        <w:t>Адвантис</w:t>
      </w:r>
      <w:proofErr w:type="spellEnd"/>
      <w:r w:rsidRPr="009C0BB3">
        <w:rPr>
          <w:rFonts w:eastAsia="Times New Roman"/>
          <w:lang w:val="sr-Cyrl-BA"/>
        </w:rPr>
        <w:t xml:space="preserve"> брокер“ </w:t>
      </w:r>
      <w:proofErr w:type="spellStart"/>
      <w:r w:rsidRPr="009C0BB3">
        <w:rPr>
          <w:rFonts w:eastAsia="Times New Roman"/>
          <w:lang w:val="sr-Cyrl-BA"/>
        </w:rPr>
        <w:t>а.д</w:t>
      </w:r>
      <w:proofErr w:type="spellEnd"/>
      <w:r w:rsidRPr="009C0BB3">
        <w:rPr>
          <w:rFonts w:eastAsia="Times New Roman"/>
          <w:lang w:val="sr-Cyrl-BA"/>
        </w:rPr>
        <w:t>. Бања Лука.</w:t>
      </w:r>
    </w:p>
    <w:p w14:paraId="59FA9BE4" w14:textId="4297AF1E" w:rsidR="00BF6D48" w:rsidRPr="00BF6D48" w:rsidRDefault="00BF6D48" w:rsidP="00BF6D48">
      <w:pPr>
        <w:spacing w:line="240" w:lineRule="auto"/>
        <w:ind w:firstLine="567"/>
      </w:pPr>
      <w:r w:rsidRPr="009C0BB3">
        <w:rPr>
          <w:rFonts w:eastAsia="Times New Roman"/>
          <w:lang w:val="sr-Cyrl-BA"/>
        </w:rPr>
        <w:t>Комисија је у 2023. години дала сагласност на именовање директора Друштва за пословање са хартијама од вриједности „</w:t>
      </w:r>
      <w:proofErr w:type="spellStart"/>
      <w:r w:rsidRPr="009C0BB3">
        <w:rPr>
          <w:rFonts w:eastAsia="Times New Roman"/>
          <w:lang w:val="sr-Cyrl-BA"/>
        </w:rPr>
        <w:t>Raiffeisen</w:t>
      </w:r>
      <w:proofErr w:type="spellEnd"/>
      <w:r w:rsidRPr="009C0BB3">
        <w:rPr>
          <w:rFonts w:eastAsia="Times New Roman"/>
          <w:lang w:val="sr-Cyrl-BA"/>
        </w:rPr>
        <w:t xml:space="preserve"> </w:t>
      </w:r>
      <w:proofErr w:type="spellStart"/>
      <w:r w:rsidRPr="009C0BB3">
        <w:rPr>
          <w:rFonts w:eastAsia="Times New Roman"/>
          <w:lang w:val="sr-Cyrl-BA"/>
        </w:rPr>
        <w:t>Capital</w:t>
      </w:r>
      <w:proofErr w:type="spellEnd"/>
      <w:r w:rsidRPr="009C0BB3">
        <w:rPr>
          <w:rFonts w:eastAsia="Times New Roman"/>
          <w:lang w:val="sr-Cyrl-BA"/>
        </w:rPr>
        <w:t xml:space="preserve">“ </w:t>
      </w:r>
      <w:proofErr w:type="spellStart"/>
      <w:r w:rsidRPr="009C0BB3">
        <w:rPr>
          <w:rFonts w:eastAsia="Times New Roman"/>
          <w:lang w:val="sr-Cyrl-BA"/>
        </w:rPr>
        <w:t>а.д</w:t>
      </w:r>
      <w:proofErr w:type="spellEnd"/>
      <w:r w:rsidRPr="009C0BB3">
        <w:rPr>
          <w:rFonts w:eastAsia="Times New Roman"/>
          <w:lang w:val="sr-Cyrl-BA"/>
        </w:rPr>
        <w:t xml:space="preserve">. Бања Лука. Дата је и сагласност на именовање за замјеника директора </w:t>
      </w:r>
      <w:r w:rsidR="009C0BB3">
        <w:rPr>
          <w:rFonts w:eastAsia="Times New Roman"/>
          <w:lang w:val="sr-Cyrl-BA"/>
        </w:rPr>
        <w:t>Б</w:t>
      </w:r>
      <w:r w:rsidR="009C0BB3" w:rsidRPr="009C0BB3">
        <w:rPr>
          <w:rFonts w:eastAsia="Times New Roman"/>
          <w:lang w:val="sr-Cyrl-BA"/>
        </w:rPr>
        <w:t>рокерско-</w:t>
      </w:r>
      <w:proofErr w:type="spellStart"/>
      <w:r w:rsidR="009C0BB3" w:rsidRPr="009C0BB3">
        <w:rPr>
          <w:rFonts w:eastAsia="Times New Roman"/>
          <w:lang w:val="sr-Cyrl-BA"/>
        </w:rPr>
        <w:t>дилерско</w:t>
      </w:r>
      <w:r w:rsidR="009C0BB3">
        <w:rPr>
          <w:rFonts w:eastAsia="Times New Roman"/>
          <w:lang w:val="sr-Cyrl-BA"/>
        </w:rPr>
        <w:t>г</w:t>
      </w:r>
      <w:proofErr w:type="spellEnd"/>
      <w:r w:rsidR="009C0BB3" w:rsidRPr="009C0BB3">
        <w:rPr>
          <w:rFonts w:eastAsia="Times New Roman"/>
          <w:lang w:val="sr-Cyrl-BA"/>
        </w:rPr>
        <w:t xml:space="preserve"> друштв</w:t>
      </w:r>
      <w:r w:rsidR="009C0BB3">
        <w:rPr>
          <w:rFonts w:eastAsia="Times New Roman"/>
          <w:lang w:val="sr-Cyrl-BA"/>
        </w:rPr>
        <w:t>а</w:t>
      </w:r>
      <w:r w:rsidR="009C0BB3" w:rsidRPr="009C0BB3">
        <w:rPr>
          <w:rFonts w:eastAsia="Times New Roman"/>
          <w:lang w:val="sr-Cyrl-BA"/>
        </w:rPr>
        <w:t xml:space="preserve"> </w:t>
      </w:r>
      <w:proofErr w:type="spellStart"/>
      <w:r w:rsidRPr="009C0BB3">
        <w:rPr>
          <w:rFonts w:eastAsia="Times New Roman"/>
          <w:lang w:val="sr-Cyrl-BA"/>
        </w:rPr>
        <w:t>Адвантис</w:t>
      </w:r>
      <w:proofErr w:type="spellEnd"/>
      <w:r w:rsidRPr="009C0BB3">
        <w:rPr>
          <w:rFonts w:eastAsia="Times New Roman"/>
          <w:lang w:val="sr-Cyrl-BA"/>
        </w:rPr>
        <w:t xml:space="preserve"> брокер </w:t>
      </w:r>
      <w:proofErr w:type="spellStart"/>
      <w:r w:rsidRPr="009C0BB3">
        <w:rPr>
          <w:rFonts w:eastAsia="Times New Roman"/>
          <w:lang w:val="sr-Cyrl-BA"/>
        </w:rPr>
        <w:t>а.д</w:t>
      </w:r>
      <w:proofErr w:type="spellEnd"/>
      <w:r w:rsidRPr="009C0BB3">
        <w:rPr>
          <w:rFonts w:eastAsia="Times New Roman"/>
          <w:lang w:val="sr-Cyrl-BA"/>
        </w:rPr>
        <w:t xml:space="preserve">. Бања Лука. Поред тога, </w:t>
      </w:r>
      <w:r w:rsidRPr="009C0BB3">
        <w:rPr>
          <w:lang w:val="sr-Cyrl-BA"/>
        </w:rPr>
        <w:t xml:space="preserve">дата је сагласност на статут, те измјене и допуне статута </w:t>
      </w:r>
      <w:r w:rsidR="009C0BB3" w:rsidRPr="009C0BB3">
        <w:rPr>
          <w:lang w:val="sr-Cyrl-BA"/>
        </w:rPr>
        <w:t>Друштв</w:t>
      </w:r>
      <w:r w:rsidR="009C0BB3">
        <w:rPr>
          <w:lang w:val="sr-Cyrl-BA"/>
        </w:rPr>
        <w:t>а</w:t>
      </w:r>
      <w:r w:rsidR="009C0BB3" w:rsidRPr="009C0BB3">
        <w:rPr>
          <w:lang w:val="sr-Cyrl-BA"/>
        </w:rPr>
        <w:t xml:space="preserve"> за пословање са хартијама од вриједности </w:t>
      </w:r>
      <w:r w:rsidRPr="00441AA2">
        <w:rPr>
          <w:lang w:val="sr-Latn-BA"/>
        </w:rPr>
        <w:t xml:space="preserve">Raiffeisen Capital </w:t>
      </w:r>
      <w:proofErr w:type="spellStart"/>
      <w:r w:rsidRPr="00441AA2">
        <w:rPr>
          <w:lang w:val="sr-Cyrl-BA"/>
        </w:rPr>
        <w:t>а.д</w:t>
      </w:r>
      <w:proofErr w:type="spellEnd"/>
      <w:r w:rsidRPr="00441AA2">
        <w:rPr>
          <w:lang w:val="sr-Cyrl-BA"/>
        </w:rPr>
        <w:t>. Бања Лука.</w:t>
      </w:r>
      <w:r>
        <w:rPr>
          <w:lang w:val="sr-Latn-BA"/>
        </w:rPr>
        <w:t xml:space="preserve"> </w:t>
      </w:r>
    </w:p>
    <w:p w14:paraId="705974FC" w14:textId="6DD04D7B" w:rsidR="000255CC" w:rsidRDefault="00C52DD7" w:rsidP="006B6E0C">
      <w:pPr>
        <w:spacing w:line="240" w:lineRule="auto"/>
        <w:ind w:firstLine="567"/>
        <w:rPr>
          <w:lang w:val="sr-Cyrl-BA"/>
        </w:rPr>
      </w:pPr>
      <w:r w:rsidRPr="00EC6422">
        <w:rPr>
          <w:lang w:val="sr-Cyrl-BA"/>
        </w:rPr>
        <w:t xml:space="preserve">Комисија издаје </w:t>
      </w:r>
      <w:r w:rsidRPr="0053265D">
        <w:rPr>
          <w:lang w:val="sr-Cyrl-BA"/>
        </w:rPr>
        <w:t>банкама</w:t>
      </w:r>
      <w:r w:rsidRPr="00EC6422">
        <w:rPr>
          <w:lang w:val="sr-Cyrl-BA"/>
        </w:rPr>
        <w:t xml:space="preserve"> дозволу за обављање </w:t>
      </w:r>
      <w:proofErr w:type="spellStart"/>
      <w:r w:rsidRPr="00EC6422">
        <w:rPr>
          <w:lang w:val="sr-Cyrl-BA"/>
        </w:rPr>
        <w:t>кастоди</w:t>
      </w:r>
      <w:proofErr w:type="spellEnd"/>
      <w:r w:rsidRPr="00EC6422">
        <w:rPr>
          <w:lang w:val="sr-Cyrl-BA"/>
        </w:rPr>
        <w:t xml:space="preserve"> послова</w:t>
      </w:r>
      <w:r w:rsidRPr="00EC6422">
        <w:rPr>
          <w:b/>
          <w:lang w:val="sr-Cyrl-BA"/>
        </w:rPr>
        <w:t>,</w:t>
      </w:r>
      <w:r w:rsidRPr="00EC6422">
        <w:rPr>
          <w:lang w:val="sr-Cyrl-BA"/>
        </w:rPr>
        <w:t xml:space="preserve"> у </w:t>
      </w:r>
      <w:r w:rsidRPr="00EC6422">
        <w:rPr>
          <w:rFonts w:eastAsia="Times New Roman"/>
          <w:lang w:val="sr-Cyrl-BA" w:eastAsia="sr-Latn-CS"/>
        </w:rPr>
        <w:t>складу</w:t>
      </w:r>
      <w:r w:rsidRPr="00EC6422">
        <w:rPr>
          <w:lang w:val="sr-Cyrl-BA"/>
        </w:rPr>
        <w:t xml:space="preserve"> са чланом 128. Закона о тржишту хартија од вриједности.</w:t>
      </w:r>
    </w:p>
    <w:p w14:paraId="6B395D52" w14:textId="12BDF386" w:rsidR="00C82038" w:rsidRDefault="00C82038" w:rsidP="006B6E0C">
      <w:pPr>
        <w:spacing w:line="240" w:lineRule="auto"/>
        <w:ind w:firstLine="567"/>
        <w:rPr>
          <w:lang w:val="sr-Cyrl-BA"/>
        </w:rPr>
      </w:pPr>
    </w:p>
    <w:p w14:paraId="1C342257" w14:textId="77777777" w:rsidR="00C82038" w:rsidRPr="00EC6422" w:rsidRDefault="00C82038" w:rsidP="006B6E0C">
      <w:pPr>
        <w:spacing w:line="240" w:lineRule="auto"/>
        <w:ind w:firstLine="567"/>
        <w:rPr>
          <w:lang w:val="sr-Cyrl-BA"/>
        </w:rPr>
      </w:pPr>
    </w:p>
    <w:tbl>
      <w:tblPr>
        <w:tblStyle w:val="LightGrid-Accent12"/>
        <w:tblW w:w="6252" w:type="dxa"/>
        <w:jc w:val="center"/>
        <w:tblLayout w:type="fixed"/>
        <w:tblLook w:val="0420" w:firstRow="1" w:lastRow="0" w:firstColumn="0" w:lastColumn="0" w:noHBand="0" w:noVBand="1"/>
      </w:tblPr>
      <w:tblGrid>
        <w:gridCol w:w="3450"/>
        <w:gridCol w:w="1401"/>
        <w:gridCol w:w="1401"/>
      </w:tblGrid>
      <w:tr w:rsidR="000255CC" w:rsidRPr="00EC6422" w14:paraId="544135A2" w14:textId="77777777" w:rsidTr="003B565C">
        <w:trPr>
          <w:cnfStyle w:val="100000000000" w:firstRow="1" w:lastRow="0" w:firstColumn="0" w:lastColumn="0" w:oddVBand="0" w:evenVBand="0" w:oddHBand="0" w:evenHBand="0" w:firstRowFirstColumn="0" w:firstRowLastColumn="0" w:lastRowFirstColumn="0" w:lastRowLastColumn="0"/>
          <w:trHeight w:val="280"/>
          <w:jc w:val="center"/>
        </w:trPr>
        <w:tc>
          <w:tcPr>
            <w:tcW w:w="3450" w:type="dxa"/>
            <w:hideMark/>
          </w:tcPr>
          <w:p w14:paraId="32E9CA01" w14:textId="77777777" w:rsidR="000255CC" w:rsidRPr="00EC6422" w:rsidRDefault="000255CC" w:rsidP="00B90F55">
            <w:pPr>
              <w:spacing w:after="0" w:line="240" w:lineRule="auto"/>
              <w:ind w:firstLine="0"/>
              <w:jc w:val="left"/>
              <w:rPr>
                <w:rFonts w:ascii="Times New Roman" w:eastAsia="Times New Roman" w:hAnsi="Times New Roman" w:cs="Times New Roman"/>
                <w:sz w:val="20"/>
                <w:szCs w:val="20"/>
                <w:lang w:val="sr-Cyrl-BA" w:eastAsia="sr-Latn-CS"/>
              </w:rPr>
            </w:pPr>
            <w:r w:rsidRPr="00EC6422">
              <w:rPr>
                <w:rFonts w:ascii="Times New Roman" w:hAnsi="Times New Roman" w:cs="Times New Roman"/>
                <w:sz w:val="20"/>
                <w:szCs w:val="20"/>
                <w:lang w:val="sr-Cyrl-BA"/>
              </w:rPr>
              <w:lastRenderedPageBreak/>
              <w:br w:type="page"/>
            </w:r>
            <w:r w:rsidRPr="00EC6422">
              <w:rPr>
                <w:rFonts w:ascii="Times New Roman" w:eastAsia="Times New Roman" w:hAnsi="Times New Roman" w:cs="Times New Roman"/>
                <w:sz w:val="20"/>
                <w:szCs w:val="20"/>
                <w:lang w:val="sr-Cyrl-BA" w:eastAsia="sr-Latn-CS"/>
              </w:rPr>
              <w:t xml:space="preserve">Назив банке која има дозволу за обављање </w:t>
            </w:r>
            <w:proofErr w:type="spellStart"/>
            <w:r w:rsidRPr="00EC6422">
              <w:rPr>
                <w:rFonts w:ascii="Times New Roman" w:eastAsia="Times New Roman" w:hAnsi="Times New Roman" w:cs="Times New Roman"/>
                <w:sz w:val="20"/>
                <w:szCs w:val="20"/>
                <w:lang w:val="sr-Cyrl-BA" w:eastAsia="sr-Latn-CS"/>
              </w:rPr>
              <w:t>кастоди</w:t>
            </w:r>
            <w:proofErr w:type="spellEnd"/>
            <w:r w:rsidRPr="00EC6422">
              <w:rPr>
                <w:rFonts w:ascii="Times New Roman" w:eastAsia="Times New Roman" w:hAnsi="Times New Roman" w:cs="Times New Roman"/>
                <w:sz w:val="20"/>
                <w:szCs w:val="20"/>
                <w:lang w:val="sr-Cyrl-BA" w:eastAsia="sr-Latn-CS"/>
              </w:rPr>
              <w:t xml:space="preserve"> послова</w:t>
            </w:r>
          </w:p>
        </w:tc>
        <w:tc>
          <w:tcPr>
            <w:tcW w:w="1401" w:type="dxa"/>
            <w:hideMark/>
          </w:tcPr>
          <w:p w14:paraId="4DF755EA" w14:textId="77777777" w:rsidR="000255CC" w:rsidRPr="00EC6422" w:rsidRDefault="000255CC" w:rsidP="006B6E0C">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C6422">
              <w:rPr>
                <w:rFonts w:ascii="Times New Roman" w:eastAsia="Times New Roman" w:hAnsi="Times New Roman" w:cs="Times New Roman"/>
                <w:sz w:val="20"/>
                <w:szCs w:val="20"/>
                <w:lang w:val="sr-Cyrl-BA" w:eastAsia="sr-Latn-CS"/>
              </w:rPr>
              <w:t>Датум издавања</w:t>
            </w:r>
          </w:p>
        </w:tc>
        <w:tc>
          <w:tcPr>
            <w:tcW w:w="1401" w:type="dxa"/>
            <w:hideMark/>
          </w:tcPr>
          <w:p w14:paraId="24A7CBC6" w14:textId="77777777" w:rsidR="000255CC" w:rsidRPr="00EC6422" w:rsidRDefault="000255CC" w:rsidP="006B6E0C">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C6422">
              <w:rPr>
                <w:rFonts w:ascii="Times New Roman" w:eastAsia="Times New Roman" w:hAnsi="Times New Roman" w:cs="Times New Roman"/>
                <w:sz w:val="20"/>
                <w:szCs w:val="20"/>
                <w:lang w:val="sr-Cyrl-BA" w:eastAsia="sr-Latn-CS"/>
              </w:rPr>
              <w:t>Важење дозволе</w:t>
            </w:r>
          </w:p>
        </w:tc>
      </w:tr>
      <w:tr w:rsidR="008E7374" w:rsidRPr="00EC6422" w14:paraId="647EC5FE" w14:textId="77777777" w:rsidTr="003B565C">
        <w:trPr>
          <w:cnfStyle w:val="000000100000" w:firstRow="0" w:lastRow="0" w:firstColumn="0" w:lastColumn="0" w:oddVBand="0" w:evenVBand="0" w:oddHBand="1" w:evenHBand="0" w:firstRowFirstColumn="0" w:firstRowLastColumn="0" w:lastRowFirstColumn="0" w:lastRowLastColumn="0"/>
          <w:trHeight w:val="237"/>
          <w:jc w:val="center"/>
        </w:trPr>
        <w:tc>
          <w:tcPr>
            <w:tcW w:w="3450" w:type="dxa"/>
            <w:hideMark/>
          </w:tcPr>
          <w:p w14:paraId="64B3655C" w14:textId="77777777" w:rsidR="008E7374" w:rsidRPr="00EC6422" w:rsidRDefault="00000000" w:rsidP="006B6E0C">
            <w:pPr>
              <w:spacing w:after="0" w:line="240" w:lineRule="auto"/>
              <w:ind w:firstLine="0"/>
              <w:rPr>
                <w:rFonts w:ascii="Times New Roman" w:eastAsia="Times New Roman" w:hAnsi="Times New Roman" w:cs="Times New Roman"/>
                <w:sz w:val="20"/>
                <w:szCs w:val="20"/>
                <w:lang w:val="sr-Cyrl-BA" w:eastAsia="sr-Latn-CS"/>
              </w:rPr>
            </w:pPr>
            <w:hyperlink r:id="rId18" w:history="1">
              <w:proofErr w:type="spellStart"/>
              <w:r w:rsidR="008E7374" w:rsidRPr="00EC6422">
                <w:rPr>
                  <w:rStyle w:val="Hyperlink"/>
                  <w:rFonts w:ascii="Times New Roman" w:eastAsia="Times New Roman" w:hAnsi="Times New Roman" w:cs="Times New Roman"/>
                  <w:color w:val="auto"/>
                  <w:sz w:val="20"/>
                  <w:szCs w:val="20"/>
                  <w:u w:val="none"/>
                  <w:lang w:val="sr-Cyrl-BA" w:eastAsia="sr-Latn-CS"/>
                </w:rPr>
                <w:t>Raiffeisen</w:t>
              </w:r>
              <w:proofErr w:type="spellEnd"/>
              <w:r w:rsidR="008E7374" w:rsidRPr="00EC6422">
                <w:rPr>
                  <w:rStyle w:val="Hyperlink"/>
                  <w:rFonts w:ascii="Times New Roman" w:eastAsia="Times New Roman" w:hAnsi="Times New Roman" w:cs="Times New Roman"/>
                  <w:color w:val="auto"/>
                  <w:sz w:val="20"/>
                  <w:szCs w:val="20"/>
                  <w:u w:val="none"/>
                  <w:lang w:val="sr-Cyrl-BA" w:eastAsia="sr-Latn-CS"/>
                </w:rPr>
                <w:t xml:space="preserve"> </w:t>
              </w:r>
              <w:proofErr w:type="spellStart"/>
              <w:r w:rsidR="008E7374" w:rsidRPr="00EC6422">
                <w:rPr>
                  <w:rStyle w:val="Hyperlink"/>
                  <w:rFonts w:ascii="Times New Roman" w:eastAsia="Times New Roman" w:hAnsi="Times New Roman" w:cs="Times New Roman"/>
                  <w:color w:val="auto"/>
                  <w:sz w:val="20"/>
                  <w:szCs w:val="20"/>
                  <w:u w:val="none"/>
                  <w:lang w:val="sr-Cyrl-BA" w:eastAsia="sr-Latn-CS"/>
                </w:rPr>
                <w:t>Bank</w:t>
              </w:r>
              <w:proofErr w:type="spellEnd"/>
              <w:r w:rsidR="008E7374" w:rsidRPr="00EC6422">
                <w:rPr>
                  <w:rStyle w:val="Hyperlink"/>
                  <w:rFonts w:ascii="Times New Roman" w:eastAsia="Times New Roman" w:hAnsi="Times New Roman" w:cs="Times New Roman"/>
                  <w:color w:val="auto"/>
                  <w:sz w:val="20"/>
                  <w:szCs w:val="20"/>
                  <w:u w:val="none"/>
                  <w:lang w:val="sr-Cyrl-BA" w:eastAsia="sr-Latn-CS"/>
                </w:rPr>
                <w:t xml:space="preserve"> </w:t>
              </w:r>
            </w:hyperlink>
            <w:proofErr w:type="spellStart"/>
            <w:r w:rsidR="008E7374" w:rsidRPr="00EC6422">
              <w:rPr>
                <w:rFonts w:ascii="Times New Roman" w:eastAsia="Times New Roman" w:hAnsi="Times New Roman" w:cs="Times New Roman"/>
                <w:sz w:val="20"/>
                <w:szCs w:val="20"/>
                <w:lang w:val="sr-Cyrl-BA" w:eastAsia="sr-Latn-CS"/>
              </w:rPr>
              <w:t>д.д</w:t>
            </w:r>
            <w:proofErr w:type="spellEnd"/>
            <w:r w:rsidR="008E7374" w:rsidRPr="00EC6422">
              <w:rPr>
                <w:rFonts w:ascii="Times New Roman" w:eastAsia="Times New Roman" w:hAnsi="Times New Roman" w:cs="Times New Roman"/>
                <w:sz w:val="20"/>
                <w:szCs w:val="20"/>
                <w:lang w:val="sr-Cyrl-BA" w:eastAsia="sr-Latn-CS"/>
              </w:rPr>
              <w:t xml:space="preserve">. БиХ </w:t>
            </w:r>
          </w:p>
        </w:tc>
        <w:tc>
          <w:tcPr>
            <w:tcW w:w="1401" w:type="dxa"/>
            <w:hideMark/>
          </w:tcPr>
          <w:p w14:paraId="51446EA3" w14:textId="77777777" w:rsidR="008E7374" w:rsidRPr="00EC6422" w:rsidRDefault="008E7374" w:rsidP="006B6E0C">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05.01.2010.</w:t>
            </w:r>
          </w:p>
        </w:tc>
        <w:tc>
          <w:tcPr>
            <w:tcW w:w="1401" w:type="dxa"/>
            <w:hideMark/>
          </w:tcPr>
          <w:p w14:paraId="4955327D" w14:textId="63FD21DE" w:rsidR="008E7374" w:rsidRPr="00EC6422" w:rsidRDefault="008E7374" w:rsidP="006B6E0C">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05.01.</w:t>
            </w:r>
            <w:r>
              <w:rPr>
                <w:rFonts w:ascii="Times New Roman" w:eastAsia="Times New Roman" w:hAnsi="Times New Roman" w:cs="Times New Roman"/>
                <w:sz w:val="20"/>
                <w:szCs w:val="20"/>
                <w:lang w:val="sr-Cyrl-BA" w:eastAsia="sr-Latn-CS"/>
              </w:rPr>
              <w:t>2025</w:t>
            </w:r>
            <w:r w:rsidRPr="00FE00C5">
              <w:rPr>
                <w:rFonts w:ascii="Times New Roman" w:eastAsia="Times New Roman" w:hAnsi="Times New Roman" w:cs="Times New Roman"/>
                <w:sz w:val="20"/>
                <w:szCs w:val="20"/>
                <w:lang w:val="sr-Cyrl-BA" w:eastAsia="sr-Latn-CS"/>
              </w:rPr>
              <w:t>.</w:t>
            </w:r>
          </w:p>
        </w:tc>
      </w:tr>
      <w:tr w:rsidR="000A0529" w:rsidRPr="00EC6422" w14:paraId="074FC908" w14:textId="77777777" w:rsidTr="003B565C">
        <w:trPr>
          <w:cnfStyle w:val="000000010000" w:firstRow="0" w:lastRow="0" w:firstColumn="0" w:lastColumn="0" w:oddVBand="0" w:evenVBand="0" w:oddHBand="0" w:evenHBand="1" w:firstRowFirstColumn="0" w:firstRowLastColumn="0" w:lastRowFirstColumn="0" w:lastRowLastColumn="0"/>
          <w:trHeight w:val="53"/>
          <w:jc w:val="center"/>
        </w:trPr>
        <w:tc>
          <w:tcPr>
            <w:tcW w:w="3450" w:type="dxa"/>
            <w:hideMark/>
          </w:tcPr>
          <w:p w14:paraId="6E7E8048" w14:textId="77777777" w:rsidR="000A0529" w:rsidRPr="00EC6422" w:rsidRDefault="00000000" w:rsidP="000A0529">
            <w:pPr>
              <w:spacing w:after="0" w:line="240" w:lineRule="auto"/>
              <w:ind w:firstLine="0"/>
              <w:rPr>
                <w:rFonts w:ascii="Times New Roman" w:eastAsia="Times New Roman" w:hAnsi="Times New Roman" w:cs="Times New Roman"/>
                <w:sz w:val="20"/>
                <w:szCs w:val="20"/>
                <w:lang w:val="sr-Cyrl-BA" w:eastAsia="sr-Latn-CS"/>
              </w:rPr>
            </w:pPr>
            <w:hyperlink r:id="rId19" w:history="1">
              <w:r w:rsidR="000A0529" w:rsidRPr="00EC6422">
                <w:rPr>
                  <w:rStyle w:val="Hyperlink"/>
                  <w:rFonts w:ascii="Times New Roman" w:eastAsia="Times New Roman" w:hAnsi="Times New Roman" w:cs="Times New Roman"/>
                  <w:color w:val="auto"/>
                  <w:sz w:val="20"/>
                  <w:szCs w:val="20"/>
                  <w:u w:val="none"/>
                  <w:lang w:val="sr-Cyrl-BA" w:eastAsia="sr-Latn-CS"/>
                </w:rPr>
                <w:t xml:space="preserve">Нова банка </w:t>
              </w:r>
              <w:proofErr w:type="spellStart"/>
              <w:r w:rsidR="000A0529" w:rsidRPr="00EC6422">
                <w:rPr>
                  <w:rStyle w:val="Hyperlink"/>
                  <w:rFonts w:ascii="Times New Roman" w:eastAsia="Times New Roman" w:hAnsi="Times New Roman" w:cs="Times New Roman"/>
                  <w:color w:val="auto"/>
                  <w:sz w:val="20"/>
                  <w:szCs w:val="20"/>
                  <w:u w:val="none"/>
                  <w:lang w:val="sr-Cyrl-BA" w:eastAsia="sr-Latn-CS"/>
                </w:rPr>
                <w:t>a.д</w:t>
              </w:r>
              <w:proofErr w:type="spellEnd"/>
              <w:r w:rsidR="000A0529" w:rsidRPr="00EC6422">
                <w:rPr>
                  <w:rStyle w:val="Hyperlink"/>
                  <w:rFonts w:ascii="Times New Roman" w:eastAsia="Times New Roman" w:hAnsi="Times New Roman" w:cs="Times New Roman"/>
                  <w:color w:val="auto"/>
                  <w:sz w:val="20"/>
                  <w:szCs w:val="20"/>
                  <w:u w:val="none"/>
                  <w:lang w:val="sr-Cyrl-BA" w:eastAsia="sr-Latn-CS"/>
                </w:rPr>
                <w:t xml:space="preserve">. Бања Лука </w:t>
              </w:r>
            </w:hyperlink>
          </w:p>
        </w:tc>
        <w:tc>
          <w:tcPr>
            <w:tcW w:w="1401" w:type="dxa"/>
            <w:hideMark/>
          </w:tcPr>
          <w:p w14:paraId="060C304A" w14:textId="77777777" w:rsidR="000A0529" w:rsidRPr="00EC6422" w:rsidRDefault="000A0529" w:rsidP="000A0529">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30.03.2010.</w:t>
            </w:r>
          </w:p>
        </w:tc>
        <w:tc>
          <w:tcPr>
            <w:tcW w:w="1401" w:type="dxa"/>
            <w:hideMark/>
          </w:tcPr>
          <w:p w14:paraId="1CA52A2D" w14:textId="024D4803" w:rsidR="000A0529" w:rsidRPr="00EC6422" w:rsidRDefault="000A0529" w:rsidP="000A0529">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04.04.202</w:t>
            </w:r>
            <w:r>
              <w:rPr>
                <w:rFonts w:ascii="Times New Roman" w:eastAsia="Times New Roman" w:hAnsi="Times New Roman" w:cs="Times New Roman"/>
                <w:sz w:val="20"/>
                <w:szCs w:val="20"/>
                <w:lang w:val="sr-Latn-BA" w:eastAsia="sr-Latn-CS"/>
              </w:rPr>
              <w:t>5</w:t>
            </w:r>
            <w:r w:rsidRPr="00FE00C5">
              <w:rPr>
                <w:rFonts w:ascii="Times New Roman" w:eastAsia="Times New Roman" w:hAnsi="Times New Roman" w:cs="Times New Roman"/>
                <w:sz w:val="20"/>
                <w:szCs w:val="20"/>
                <w:lang w:val="sr-Cyrl-BA" w:eastAsia="sr-Latn-CS"/>
              </w:rPr>
              <w:t>.</w:t>
            </w:r>
          </w:p>
        </w:tc>
      </w:tr>
      <w:tr w:rsidR="000A0529" w:rsidRPr="00EC6422" w14:paraId="296E1863" w14:textId="77777777" w:rsidTr="003B565C">
        <w:trPr>
          <w:cnfStyle w:val="000000100000" w:firstRow="0" w:lastRow="0" w:firstColumn="0" w:lastColumn="0" w:oddVBand="0" w:evenVBand="0" w:oddHBand="1" w:evenHBand="0" w:firstRowFirstColumn="0" w:firstRowLastColumn="0" w:lastRowFirstColumn="0" w:lastRowLastColumn="0"/>
          <w:trHeight w:val="53"/>
          <w:jc w:val="center"/>
        </w:trPr>
        <w:tc>
          <w:tcPr>
            <w:tcW w:w="3450" w:type="dxa"/>
            <w:hideMark/>
          </w:tcPr>
          <w:p w14:paraId="1ADFF2BA" w14:textId="77777777" w:rsidR="000A0529" w:rsidRPr="00EC6422" w:rsidRDefault="00000000" w:rsidP="000A0529">
            <w:pPr>
              <w:spacing w:after="0" w:line="240" w:lineRule="auto"/>
              <w:ind w:firstLine="0"/>
              <w:rPr>
                <w:rFonts w:ascii="Times New Roman" w:eastAsia="Times New Roman" w:hAnsi="Times New Roman" w:cs="Times New Roman"/>
                <w:sz w:val="20"/>
                <w:szCs w:val="20"/>
                <w:lang w:val="sr-Cyrl-BA" w:eastAsia="sr-Latn-CS"/>
              </w:rPr>
            </w:pPr>
            <w:hyperlink r:id="rId20" w:history="1">
              <w:r w:rsidR="000A0529" w:rsidRPr="00B47DBC">
                <w:rPr>
                  <w:rStyle w:val="Hyperlink"/>
                  <w:rFonts w:ascii="Times New Roman" w:eastAsia="Times New Roman" w:hAnsi="Times New Roman" w:cs="Times New Roman"/>
                  <w:color w:val="auto"/>
                  <w:sz w:val="20"/>
                  <w:szCs w:val="20"/>
                  <w:u w:val="none"/>
                  <w:lang w:val="en-US" w:eastAsia="sr-Latn-CS"/>
                </w:rPr>
                <w:t>UniCredit Bank</w:t>
              </w:r>
              <w:r w:rsidR="000A0529" w:rsidRPr="00EC6422">
                <w:rPr>
                  <w:rStyle w:val="Hyperlink"/>
                  <w:rFonts w:ascii="Times New Roman" w:eastAsia="Times New Roman" w:hAnsi="Times New Roman" w:cs="Times New Roman"/>
                  <w:color w:val="auto"/>
                  <w:sz w:val="20"/>
                  <w:szCs w:val="20"/>
                  <w:u w:val="none"/>
                  <w:lang w:val="sr-Cyrl-BA" w:eastAsia="sr-Latn-CS"/>
                </w:rPr>
                <w:t xml:space="preserve"> </w:t>
              </w:r>
              <w:proofErr w:type="spellStart"/>
              <w:r w:rsidR="000A0529" w:rsidRPr="00EC6422">
                <w:rPr>
                  <w:rStyle w:val="Hyperlink"/>
                  <w:rFonts w:ascii="Times New Roman" w:eastAsia="Times New Roman" w:hAnsi="Times New Roman" w:cs="Times New Roman"/>
                  <w:color w:val="auto"/>
                  <w:sz w:val="20"/>
                  <w:szCs w:val="20"/>
                  <w:u w:val="none"/>
                  <w:lang w:val="sr-Cyrl-BA" w:eastAsia="sr-Latn-CS"/>
                </w:rPr>
                <w:t>д.д</w:t>
              </w:r>
              <w:proofErr w:type="spellEnd"/>
              <w:r w:rsidR="000A0529" w:rsidRPr="00EC6422">
                <w:rPr>
                  <w:rStyle w:val="Hyperlink"/>
                  <w:rFonts w:ascii="Times New Roman" w:eastAsia="Times New Roman" w:hAnsi="Times New Roman" w:cs="Times New Roman"/>
                  <w:color w:val="auto"/>
                  <w:sz w:val="20"/>
                  <w:szCs w:val="20"/>
                  <w:u w:val="none"/>
                  <w:lang w:val="sr-Cyrl-BA" w:eastAsia="sr-Latn-CS"/>
                </w:rPr>
                <w:t>. Мостар</w:t>
              </w:r>
            </w:hyperlink>
            <w:r w:rsidR="000A0529" w:rsidRPr="00EC6422">
              <w:rPr>
                <w:rFonts w:ascii="Times New Roman" w:eastAsia="Times New Roman" w:hAnsi="Times New Roman" w:cs="Times New Roman"/>
                <w:sz w:val="20"/>
                <w:szCs w:val="20"/>
                <w:lang w:val="sr-Cyrl-BA" w:eastAsia="sr-Latn-CS"/>
              </w:rPr>
              <w:t xml:space="preserve"> </w:t>
            </w:r>
          </w:p>
        </w:tc>
        <w:tc>
          <w:tcPr>
            <w:tcW w:w="1401" w:type="dxa"/>
            <w:hideMark/>
          </w:tcPr>
          <w:p w14:paraId="1C6F939A" w14:textId="77777777" w:rsidR="000A0529" w:rsidRPr="00EC6422" w:rsidRDefault="000A0529" w:rsidP="000A0529">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29.04.2010.</w:t>
            </w:r>
          </w:p>
        </w:tc>
        <w:tc>
          <w:tcPr>
            <w:tcW w:w="1401" w:type="dxa"/>
            <w:hideMark/>
          </w:tcPr>
          <w:p w14:paraId="7F7E401A" w14:textId="7854577C" w:rsidR="000A0529" w:rsidRPr="00EC6422" w:rsidRDefault="000A0529" w:rsidP="000A0529">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29.04.</w:t>
            </w:r>
            <w:r>
              <w:rPr>
                <w:rFonts w:ascii="Times New Roman" w:eastAsia="Times New Roman" w:hAnsi="Times New Roman" w:cs="Times New Roman"/>
                <w:sz w:val="20"/>
                <w:szCs w:val="20"/>
                <w:lang w:val="sr-Cyrl-BA" w:eastAsia="sr-Latn-CS"/>
              </w:rPr>
              <w:t>202</w:t>
            </w:r>
            <w:r>
              <w:rPr>
                <w:rFonts w:ascii="Times New Roman" w:eastAsia="Times New Roman" w:hAnsi="Times New Roman" w:cs="Times New Roman"/>
                <w:sz w:val="20"/>
                <w:szCs w:val="20"/>
                <w:lang w:val="sr-Latn-BA" w:eastAsia="sr-Latn-CS"/>
              </w:rPr>
              <w:t>5</w:t>
            </w:r>
            <w:r w:rsidRPr="00FE00C5">
              <w:rPr>
                <w:rFonts w:ascii="Times New Roman" w:eastAsia="Times New Roman" w:hAnsi="Times New Roman" w:cs="Times New Roman"/>
                <w:sz w:val="20"/>
                <w:szCs w:val="20"/>
                <w:lang w:val="sr-Cyrl-BA" w:eastAsia="sr-Latn-CS"/>
              </w:rPr>
              <w:t>.</w:t>
            </w:r>
          </w:p>
        </w:tc>
      </w:tr>
    </w:tbl>
    <w:p w14:paraId="7FAA5A03" w14:textId="75CC5DAD" w:rsidR="000255CC" w:rsidRPr="00EC6422" w:rsidRDefault="000255CC" w:rsidP="006B6E0C">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11</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noProof/>
          <w:sz w:val="24"/>
          <w:szCs w:val="24"/>
          <w:lang w:val="sr-Cyrl-BA"/>
        </w:rPr>
        <w:t>Преглед банака које су имале дозволу за обављање кастоди послова на дан 31.12.</w:t>
      </w:r>
      <w:r w:rsidR="00BF6D48">
        <w:rPr>
          <w:rFonts w:ascii="Times New Roman" w:hAnsi="Times New Roman"/>
          <w:b w:val="0"/>
          <w:noProof/>
          <w:sz w:val="24"/>
          <w:szCs w:val="24"/>
          <w:lang w:val="sr-Cyrl-BA"/>
        </w:rPr>
        <w:t>2023</w:t>
      </w:r>
      <w:r w:rsidRPr="00EC6422">
        <w:rPr>
          <w:rFonts w:ascii="Times New Roman" w:hAnsi="Times New Roman"/>
          <w:b w:val="0"/>
          <w:noProof/>
          <w:sz w:val="24"/>
          <w:szCs w:val="24"/>
          <w:lang w:val="sr-Cyrl-BA"/>
        </w:rPr>
        <w:t>. године</w:t>
      </w:r>
    </w:p>
    <w:p w14:paraId="175907E3" w14:textId="77777777" w:rsidR="0051391C" w:rsidRDefault="00C52DD7" w:rsidP="006B6E0C">
      <w:pPr>
        <w:spacing w:after="0" w:line="240" w:lineRule="auto"/>
        <w:ind w:firstLine="567"/>
        <w:rPr>
          <w:rFonts w:eastAsia="Times New Roman"/>
          <w:lang w:val="sr-Latn-BA" w:eastAsia="sr-Latn-CS"/>
        </w:rPr>
      </w:pPr>
      <w:r w:rsidRPr="00EC6422">
        <w:rPr>
          <w:lang w:val="sr-Cyrl-BA"/>
        </w:rPr>
        <w:t xml:space="preserve">У </w:t>
      </w:r>
      <w:r w:rsidR="000255CC" w:rsidRPr="00EC6422">
        <w:rPr>
          <w:lang w:val="sr-Cyrl-BA"/>
        </w:rPr>
        <w:t xml:space="preserve">складу са чланом 143. Закона о тржишту хартија од вриједности </w:t>
      </w:r>
      <w:r w:rsidRPr="00EC6422">
        <w:rPr>
          <w:lang w:val="sr-Cyrl-BA"/>
        </w:rPr>
        <w:t xml:space="preserve">Комисија </w:t>
      </w:r>
      <w:r w:rsidR="000255CC" w:rsidRPr="00EC6422">
        <w:rPr>
          <w:lang w:val="sr-Cyrl-BA"/>
        </w:rPr>
        <w:t>издаје дозволу за пословање</w:t>
      </w:r>
      <w:r w:rsidRPr="00EC6422">
        <w:rPr>
          <w:b/>
          <w:lang w:val="sr-Cyrl-BA"/>
        </w:rPr>
        <w:t xml:space="preserve"> берзи и другом уређеном јавном тржишту, </w:t>
      </w:r>
      <w:r w:rsidRPr="00EC6422">
        <w:rPr>
          <w:lang w:val="sr-Cyrl-BA"/>
        </w:rPr>
        <w:t xml:space="preserve">за обављање послова </w:t>
      </w:r>
      <w:r w:rsidR="00D449E7" w:rsidRPr="00EC6422">
        <w:rPr>
          <w:lang w:val="sr-Cyrl-BA"/>
        </w:rPr>
        <w:t xml:space="preserve">из члана </w:t>
      </w:r>
      <w:r w:rsidR="000255CC" w:rsidRPr="00EC6422">
        <w:rPr>
          <w:lang w:val="sr-Cyrl-BA"/>
        </w:rPr>
        <w:t>145</w:t>
      </w:r>
      <w:r w:rsidRPr="00EC6422">
        <w:rPr>
          <w:lang w:val="sr-Cyrl-BA"/>
        </w:rPr>
        <w:t>. истог закона. Дозволу за обављање ових послова н</w:t>
      </w:r>
      <w:r w:rsidR="000255CC" w:rsidRPr="00EC6422">
        <w:rPr>
          <w:rFonts w:eastAsia="Times New Roman"/>
          <w:lang w:val="sr-Cyrl-BA" w:eastAsia="sr-Latn-CS"/>
        </w:rPr>
        <w:t xml:space="preserve">а тржишту хартија од вриједности Републике Српске </w:t>
      </w:r>
      <w:r w:rsidRPr="00EC6422">
        <w:rPr>
          <w:rFonts w:eastAsia="Times New Roman"/>
          <w:lang w:val="sr-Cyrl-BA" w:eastAsia="sr-Latn-CS"/>
        </w:rPr>
        <w:t>има</w:t>
      </w:r>
      <w:r w:rsidR="000255CC" w:rsidRPr="00EC6422">
        <w:rPr>
          <w:rFonts w:eastAsia="Times New Roman"/>
          <w:lang w:val="sr-Cyrl-BA" w:eastAsia="sr-Latn-CS"/>
        </w:rPr>
        <w:t xml:space="preserve"> Бањалучка берза хартија од вриједности</w:t>
      </w:r>
      <w:r w:rsidRPr="00EC6422">
        <w:rPr>
          <w:rFonts w:eastAsia="Times New Roman"/>
          <w:lang w:val="sr-Cyrl-BA" w:eastAsia="sr-Latn-CS"/>
        </w:rPr>
        <w:t xml:space="preserve"> </w:t>
      </w:r>
      <w:proofErr w:type="spellStart"/>
      <w:r w:rsidRPr="00EC6422">
        <w:rPr>
          <w:rFonts w:eastAsia="Times New Roman"/>
          <w:lang w:val="sr-Cyrl-BA" w:eastAsia="sr-Latn-CS"/>
        </w:rPr>
        <w:t>а.д</w:t>
      </w:r>
      <w:proofErr w:type="spellEnd"/>
      <w:r w:rsidRPr="00EC6422">
        <w:rPr>
          <w:rFonts w:eastAsia="Times New Roman"/>
          <w:lang w:val="sr-Cyrl-BA" w:eastAsia="sr-Latn-CS"/>
        </w:rPr>
        <w:t>. Бања Лука</w:t>
      </w:r>
      <w:r w:rsidR="000255CC" w:rsidRPr="00EC6422">
        <w:rPr>
          <w:rFonts w:eastAsia="Times New Roman"/>
          <w:lang w:val="sr-Cyrl-BA" w:eastAsia="sr-Latn-CS"/>
        </w:rPr>
        <w:t>.</w:t>
      </w:r>
      <w:r w:rsidR="008D04D1" w:rsidRPr="00EC6422">
        <w:rPr>
          <w:rFonts w:eastAsia="Times New Roman"/>
          <w:lang w:val="sr-Cyrl-BA" w:eastAsia="sr-Latn-CS"/>
        </w:rPr>
        <w:t xml:space="preserve"> </w:t>
      </w:r>
    </w:p>
    <w:p w14:paraId="29DA1A79" w14:textId="430C19B8" w:rsidR="00434025" w:rsidRPr="00E865BB" w:rsidRDefault="00434025" w:rsidP="006B6E0C">
      <w:pPr>
        <w:spacing w:after="0" w:line="240" w:lineRule="auto"/>
        <w:ind w:firstLine="567"/>
        <w:rPr>
          <w:rStyle w:val="FontStyle22"/>
          <w:rFonts w:ascii="Times New Roman" w:hAnsi="Times New Roman" w:cs="Times New Roman"/>
          <w:sz w:val="24"/>
          <w:szCs w:val="24"/>
          <w:lang w:val="sr-Cyrl-BA" w:eastAsia="sr-Cyrl-CS"/>
        </w:rPr>
      </w:pPr>
      <w:r w:rsidRPr="00E865BB">
        <w:rPr>
          <w:rStyle w:val="FontStyle22"/>
          <w:rFonts w:ascii="Times New Roman" w:hAnsi="Times New Roman" w:cs="Times New Roman"/>
          <w:sz w:val="24"/>
          <w:szCs w:val="24"/>
          <w:lang w:val="sr-Cyrl-BA" w:eastAsia="sr-Cyrl-CS"/>
        </w:rPr>
        <w:t xml:space="preserve">На тржишту хартија од вриједности Републике Српске послове из члана 145. Закона о тржишту обавља Бањалучка берза хартија од вриједности. У току извјештајног периода </w:t>
      </w:r>
      <w:r w:rsidR="000A0529">
        <w:rPr>
          <w:rStyle w:val="FontStyle22"/>
          <w:rFonts w:ascii="Times New Roman" w:hAnsi="Times New Roman" w:cs="Times New Roman"/>
          <w:sz w:val="24"/>
          <w:szCs w:val="24"/>
          <w:lang w:val="sr-Cyrl-BA" w:eastAsia="sr-Cyrl-CS"/>
        </w:rPr>
        <w:t>није било поступака код Комисије</w:t>
      </w:r>
      <w:r>
        <w:rPr>
          <w:rStyle w:val="FontStyle22"/>
          <w:rFonts w:ascii="Times New Roman" w:hAnsi="Times New Roman" w:cs="Times New Roman"/>
          <w:sz w:val="24"/>
          <w:szCs w:val="24"/>
          <w:lang w:val="sr-Cyrl-BA" w:eastAsia="sr-Cyrl-CS"/>
        </w:rPr>
        <w:t>.</w:t>
      </w:r>
    </w:p>
    <w:p w14:paraId="03F47C25" w14:textId="77777777" w:rsidR="00BF6D48" w:rsidRDefault="00C52DD7" w:rsidP="006B6E0C">
      <w:pPr>
        <w:spacing w:after="0" w:line="240" w:lineRule="auto"/>
        <w:ind w:firstLine="567"/>
        <w:rPr>
          <w:lang w:val="sr-Cyrl-BA"/>
        </w:rPr>
      </w:pPr>
      <w:r w:rsidRPr="008E7374">
        <w:rPr>
          <w:lang w:val="sr-Cyrl-BA"/>
        </w:rPr>
        <w:t xml:space="preserve">Дозволу за обављање послова из члана 189. Закона о тржишту хартија од вриједности, Комисија  издаје </w:t>
      </w:r>
      <w:r w:rsidR="000255CC" w:rsidRPr="008E7374">
        <w:rPr>
          <w:b/>
          <w:lang w:val="sr-Cyrl-BA"/>
        </w:rPr>
        <w:t>Централном регистру хартија од вриједности</w:t>
      </w:r>
      <w:r w:rsidR="000255CC" w:rsidRPr="008E7374">
        <w:rPr>
          <w:lang w:val="sr-Cyrl-BA"/>
        </w:rPr>
        <w:t>, у складу са чланом 196. Закона</w:t>
      </w:r>
      <w:r w:rsidRPr="008E7374">
        <w:rPr>
          <w:lang w:val="sr-Cyrl-BA"/>
        </w:rPr>
        <w:t>.</w:t>
      </w:r>
      <w:r w:rsidR="000255CC" w:rsidRPr="008E7374">
        <w:rPr>
          <w:lang w:val="sr-Cyrl-BA"/>
        </w:rPr>
        <w:t xml:space="preserve"> </w:t>
      </w:r>
    </w:p>
    <w:p w14:paraId="01D7965E" w14:textId="50A46BC1" w:rsidR="00BF6D48" w:rsidRPr="00BF6D48" w:rsidRDefault="00BF6D48" w:rsidP="00BF6D48">
      <w:pPr>
        <w:spacing w:after="0" w:line="240" w:lineRule="auto"/>
        <w:ind w:firstLine="567"/>
        <w:rPr>
          <w:lang w:val="sr-Cyrl-BA"/>
        </w:rPr>
      </w:pPr>
      <w:r w:rsidRPr="00BF6D48">
        <w:rPr>
          <w:lang w:val="sr-Cyrl-BA"/>
        </w:rPr>
        <w:t xml:space="preserve">У 2023. години дато је рјешење којим се Централном регистру хартија од вриједности </w:t>
      </w:r>
      <w:proofErr w:type="spellStart"/>
      <w:r w:rsidRPr="00BF6D48">
        <w:rPr>
          <w:lang w:val="sr-Cyrl-BA"/>
        </w:rPr>
        <w:t>а.д</w:t>
      </w:r>
      <w:proofErr w:type="spellEnd"/>
      <w:r w:rsidRPr="00BF6D48">
        <w:rPr>
          <w:lang w:val="sr-Cyrl-BA"/>
        </w:rPr>
        <w:t xml:space="preserve">. Бања Лука даје сагласност на именовање руководиоца одјељења </w:t>
      </w:r>
      <w:proofErr w:type="spellStart"/>
      <w:r w:rsidRPr="00BF6D48">
        <w:rPr>
          <w:lang w:val="sr-Cyrl-BA"/>
        </w:rPr>
        <w:t>депозитарних</w:t>
      </w:r>
      <w:proofErr w:type="spellEnd"/>
      <w:r w:rsidRPr="00BF6D48">
        <w:rPr>
          <w:lang w:val="sr-Cyrl-BA"/>
        </w:rPr>
        <w:t xml:space="preserve"> послова. Поред тога, донесено је рјешење којим се Централном регистру хартија од вриједности даје сагласност на правилник о обрачуну, поравнању и </w:t>
      </w:r>
      <w:proofErr w:type="spellStart"/>
      <w:r w:rsidRPr="00BF6D48">
        <w:rPr>
          <w:lang w:val="sr-Cyrl-BA"/>
        </w:rPr>
        <w:t>преносу</w:t>
      </w:r>
      <w:proofErr w:type="spellEnd"/>
      <w:r w:rsidRPr="00BF6D48">
        <w:rPr>
          <w:lang w:val="sr-Cyrl-BA"/>
        </w:rPr>
        <w:t xml:space="preserve"> хартија од вриједности, те рјешење којим Централном регистру хартија од вриједности дата сагласност на измјене и допуне Правила </w:t>
      </w:r>
      <w:proofErr w:type="spellStart"/>
      <w:r w:rsidRPr="00BF6D48">
        <w:rPr>
          <w:lang w:val="sr-Cyrl-BA"/>
        </w:rPr>
        <w:t>депозитара</w:t>
      </w:r>
      <w:proofErr w:type="spellEnd"/>
      <w:r w:rsidRPr="00BF6D48">
        <w:rPr>
          <w:lang w:val="sr-Cyrl-BA"/>
        </w:rPr>
        <w:t xml:space="preserve"> инвестиционих фондова.</w:t>
      </w:r>
    </w:p>
    <w:p w14:paraId="46B03D95" w14:textId="77777777" w:rsidR="00BF6D48" w:rsidRPr="00BF6D48" w:rsidRDefault="00BF6D48" w:rsidP="00BF6D48">
      <w:pPr>
        <w:spacing w:after="0" w:line="240" w:lineRule="auto"/>
        <w:ind w:firstLine="567"/>
        <w:rPr>
          <w:lang w:val="sr-Cyrl-BA"/>
        </w:rPr>
      </w:pPr>
      <w:r w:rsidRPr="00BF6D48">
        <w:rPr>
          <w:lang w:val="sr-Cyrl-BA"/>
        </w:rPr>
        <w:t xml:space="preserve">Упућен је и одговор на упит Централног регистра хартија од вриједности у вези са </w:t>
      </w:r>
      <w:proofErr w:type="spellStart"/>
      <w:r w:rsidRPr="00BF6D48">
        <w:rPr>
          <w:lang w:val="sr-Cyrl-BA"/>
        </w:rPr>
        <w:t>преносом</w:t>
      </w:r>
      <w:proofErr w:type="spellEnd"/>
      <w:r w:rsidRPr="00BF6D48">
        <w:rPr>
          <w:lang w:val="sr-Cyrl-BA"/>
        </w:rPr>
        <w:t xml:space="preserve"> акција друштава за управљање инвестиционим фондовима.</w:t>
      </w:r>
    </w:p>
    <w:p w14:paraId="4623D86C" w14:textId="1BCEF344" w:rsidR="00BF6D48" w:rsidRPr="00BF6D48" w:rsidRDefault="00BF6D48" w:rsidP="00BF6D48">
      <w:pPr>
        <w:spacing w:after="0" w:line="240" w:lineRule="auto"/>
        <w:ind w:firstLine="567"/>
        <w:rPr>
          <w:lang w:val="sr-Cyrl-BA"/>
        </w:rPr>
      </w:pPr>
      <w:r w:rsidRPr="00BF6D48">
        <w:rPr>
          <w:lang w:val="sr-Cyrl-BA"/>
        </w:rPr>
        <w:t xml:space="preserve">Поред тога, донесена су два рјешења којима се налаже продаја акција Централног регистра хартија од вриједности и једно рјешење којим се даје сагласност за стицање и </w:t>
      </w:r>
      <w:proofErr w:type="spellStart"/>
      <w:r w:rsidRPr="00BF6D48">
        <w:rPr>
          <w:lang w:val="sr-Cyrl-BA"/>
        </w:rPr>
        <w:t>пренос</w:t>
      </w:r>
      <w:proofErr w:type="spellEnd"/>
      <w:r w:rsidRPr="00BF6D48">
        <w:rPr>
          <w:lang w:val="sr-Cyrl-BA"/>
        </w:rPr>
        <w:t xml:space="preserve"> акција Централног регистра</w:t>
      </w:r>
    </w:p>
    <w:p w14:paraId="5BABCF26" w14:textId="4A5141FE" w:rsidR="00C718E7" w:rsidRDefault="00C52DD7" w:rsidP="000A0529">
      <w:pPr>
        <w:spacing w:line="240" w:lineRule="auto"/>
        <w:ind w:firstLine="567"/>
        <w:rPr>
          <w:lang w:val="sr-Cyrl-BA"/>
        </w:rPr>
      </w:pPr>
      <w:r w:rsidRPr="00EC6422">
        <w:rPr>
          <w:lang w:val="sr-Cyrl-BA"/>
        </w:rPr>
        <w:t xml:space="preserve">У </w:t>
      </w:r>
      <w:r w:rsidR="000255CC" w:rsidRPr="00EC6422">
        <w:rPr>
          <w:lang w:val="sr-Cyrl-BA"/>
        </w:rPr>
        <w:t xml:space="preserve">складу са чланом 93. Закона о тржишту хартија од вриједности, </w:t>
      </w:r>
      <w:r w:rsidRPr="00EC6422">
        <w:rPr>
          <w:lang w:val="sr-Cyrl-BA"/>
        </w:rPr>
        <w:t xml:space="preserve">Комисија </w:t>
      </w:r>
      <w:r w:rsidR="000255CC" w:rsidRPr="00EC6422">
        <w:rPr>
          <w:lang w:val="sr-Cyrl-BA"/>
        </w:rPr>
        <w:t xml:space="preserve">издаје </w:t>
      </w:r>
      <w:r w:rsidRPr="00EC6422">
        <w:rPr>
          <w:b/>
          <w:lang w:val="sr-Cyrl-BA"/>
        </w:rPr>
        <w:t>физичким</w:t>
      </w:r>
      <w:r w:rsidRPr="00EC6422">
        <w:rPr>
          <w:lang w:val="sr-Cyrl-BA"/>
        </w:rPr>
        <w:t xml:space="preserve"> </w:t>
      </w:r>
      <w:r w:rsidRPr="00EC6422">
        <w:rPr>
          <w:b/>
          <w:lang w:val="sr-Cyrl-BA"/>
        </w:rPr>
        <w:t>лицима</w:t>
      </w:r>
      <w:r w:rsidRPr="00EC6422">
        <w:rPr>
          <w:lang w:val="sr-Cyrl-BA"/>
        </w:rPr>
        <w:t xml:space="preserve"> </w:t>
      </w:r>
      <w:r w:rsidR="000255CC" w:rsidRPr="00EC6422">
        <w:rPr>
          <w:lang w:val="sr-Cyrl-BA"/>
        </w:rPr>
        <w:t xml:space="preserve">дозволе за обављање послова са хартијама од </w:t>
      </w:r>
      <w:r w:rsidR="000255CC" w:rsidRPr="00EC6422">
        <w:rPr>
          <w:rFonts w:eastAsia="Times New Roman"/>
          <w:lang w:val="sr-Cyrl-BA" w:eastAsia="sr-Latn-CS"/>
        </w:rPr>
        <w:t>вриједности</w:t>
      </w:r>
      <w:r w:rsidR="000255CC" w:rsidRPr="00EC6422">
        <w:rPr>
          <w:lang w:val="sr-Cyrl-BA"/>
        </w:rPr>
        <w:t xml:space="preserve"> у звању брокера, инвестиционог савјетника и инвестиционог менаџера.</w:t>
      </w:r>
      <w:r w:rsidRPr="00EC6422">
        <w:rPr>
          <w:lang w:val="sr-Cyrl-BA"/>
        </w:rPr>
        <w:t xml:space="preserve"> </w:t>
      </w:r>
      <w:r w:rsidR="000255CC" w:rsidRPr="00EC6422">
        <w:rPr>
          <w:lang w:val="sr-Cyrl-BA"/>
        </w:rPr>
        <w:t>Поред одредаба Закона о тржишту, у овим поступцима, Комисија поступа и у складу са Правилником о условима и поступку стицања звања и добијања дозволе за обављање послова брокера, инвестиционог савј</w:t>
      </w:r>
      <w:r w:rsidR="0056392F">
        <w:rPr>
          <w:lang w:val="sr-Cyrl-BA"/>
        </w:rPr>
        <w:t>етника и инвестиционог менаџера</w:t>
      </w:r>
      <w:r w:rsidR="0056392F">
        <w:rPr>
          <w:rStyle w:val="FootnoteReference"/>
          <w:lang w:val="sr-Cyrl-BA"/>
        </w:rPr>
        <w:footnoteReference w:id="13"/>
      </w:r>
      <w:r w:rsidR="00ED6BDC" w:rsidRPr="00EC6422">
        <w:rPr>
          <w:lang w:val="sr-Cyrl-BA"/>
        </w:rPr>
        <w:t>.</w:t>
      </w:r>
    </w:p>
    <w:tbl>
      <w:tblPr>
        <w:tblStyle w:val="LightGrid-Accent11"/>
        <w:tblW w:w="0" w:type="auto"/>
        <w:jc w:val="center"/>
        <w:tblLook w:val="04E0" w:firstRow="1" w:lastRow="1" w:firstColumn="1" w:lastColumn="0" w:noHBand="0" w:noVBand="1"/>
      </w:tblPr>
      <w:tblGrid>
        <w:gridCol w:w="2649"/>
        <w:gridCol w:w="2377"/>
        <w:gridCol w:w="2559"/>
      </w:tblGrid>
      <w:tr w:rsidR="008D04D1" w:rsidRPr="004203B0" w14:paraId="3073B6B5" w14:textId="77777777" w:rsidTr="00DB7B1C">
        <w:trPr>
          <w:cnfStyle w:val="100000000000" w:firstRow="1" w:lastRow="0" w:firstColumn="0" w:lastColumn="0" w:oddVBand="0" w:evenVBand="0" w:oddHBand="0"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649" w:type="dxa"/>
            <w:vAlign w:val="center"/>
          </w:tcPr>
          <w:p w14:paraId="442C1DAE" w14:textId="77777777" w:rsidR="008D04D1" w:rsidRPr="004203B0" w:rsidRDefault="008D04D1" w:rsidP="006B6E0C">
            <w:pPr>
              <w:pStyle w:val="ListParagraph"/>
              <w:spacing w:after="0" w:line="240" w:lineRule="auto"/>
              <w:ind w:left="0" w:firstLine="0"/>
              <w:contextualSpacing w:val="0"/>
              <w:jc w:val="left"/>
              <w:rPr>
                <w:rFonts w:ascii="Times New Roman" w:hAnsi="Times New Roman"/>
                <w:sz w:val="22"/>
                <w:lang w:val="sr-Cyrl-BA"/>
              </w:rPr>
            </w:pPr>
            <w:r w:rsidRPr="004203B0">
              <w:rPr>
                <w:rFonts w:ascii="Times New Roman" w:hAnsi="Times New Roman"/>
                <w:sz w:val="22"/>
                <w:lang w:val="sr-Cyrl-BA"/>
              </w:rPr>
              <w:t>Звање</w:t>
            </w:r>
          </w:p>
        </w:tc>
        <w:tc>
          <w:tcPr>
            <w:tcW w:w="2377" w:type="dxa"/>
            <w:vAlign w:val="center"/>
          </w:tcPr>
          <w:p w14:paraId="6B7B7F44" w14:textId="77777777" w:rsidR="008D04D1" w:rsidRPr="004203B0" w:rsidRDefault="008D04D1"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Cyrl-BA"/>
              </w:rPr>
            </w:pPr>
            <w:r w:rsidRPr="004203B0">
              <w:rPr>
                <w:rFonts w:ascii="Times New Roman" w:hAnsi="Times New Roman"/>
                <w:sz w:val="22"/>
                <w:lang w:val="sr-Cyrl-BA"/>
              </w:rPr>
              <w:t>Број лица са звањем</w:t>
            </w:r>
          </w:p>
        </w:tc>
        <w:tc>
          <w:tcPr>
            <w:tcW w:w="2559" w:type="dxa"/>
            <w:vAlign w:val="center"/>
          </w:tcPr>
          <w:p w14:paraId="7BCE327C" w14:textId="77777777" w:rsidR="008D04D1" w:rsidRPr="004203B0" w:rsidRDefault="008D04D1"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Cyrl-BA"/>
              </w:rPr>
            </w:pPr>
            <w:r w:rsidRPr="004203B0">
              <w:rPr>
                <w:rFonts w:ascii="Times New Roman" w:hAnsi="Times New Roman"/>
                <w:sz w:val="22"/>
                <w:lang w:val="sr-Cyrl-BA"/>
              </w:rPr>
              <w:t>Број лица са дозволом</w:t>
            </w:r>
          </w:p>
        </w:tc>
      </w:tr>
      <w:tr w:rsidR="00BF6D48" w:rsidRPr="004203B0" w14:paraId="58729A15" w14:textId="77777777" w:rsidTr="005E1D59">
        <w:trPr>
          <w:cnfStyle w:val="000000100000" w:firstRow="0" w:lastRow="0" w:firstColumn="0" w:lastColumn="0" w:oddVBand="0" w:evenVBand="0" w:oddHBand="1" w:evenHBand="0" w:firstRowFirstColumn="0" w:firstRowLastColumn="0" w:lastRowFirstColumn="0" w:lastRowLastColumn="0"/>
          <w:trHeight w:val="64"/>
          <w:jc w:val="center"/>
        </w:trPr>
        <w:tc>
          <w:tcPr>
            <w:cnfStyle w:val="001000000000" w:firstRow="0" w:lastRow="0" w:firstColumn="1" w:lastColumn="0" w:oddVBand="0" w:evenVBand="0" w:oddHBand="0" w:evenHBand="0" w:firstRowFirstColumn="0" w:firstRowLastColumn="0" w:lastRowFirstColumn="0" w:lastRowLastColumn="0"/>
            <w:tcW w:w="2649" w:type="dxa"/>
          </w:tcPr>
          <w:p w14:paraId="62351ABD" w14:textId="77777777" w:rsidR="00BF6D48" w:rsidRPr="004203B0" w:rsidRDefault="00BF6D48" w:rsidP="00BF6D48">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Инвестициони менаџер</w:t>
            </w:r>
          </w:p>
        </w:tc>
        <w:tc>
          <w:tcPr>
            <w:tcW w:w="2377" w:type="dxa"/>
            <w:vAlign w:val="center"/>
          </w:tcPr>
          <w:p w14:paraId="2A4FAE76" w14:textId="6D24F8D0" w:rsidR="00BF6D48" w:rsidRPr="00BF6D4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BF6D48">
              <w:rPr>
                <w:rFonts w:ascii="Times New Roman" w:hAnsi="Times New Roman" w:cs="Times New Roman"/>
                <w:sz w:val="20"/>
                <w:szCs w:val="20"/>
              </w:rPr>
              <w:t>23</w:t>
            </w:r>
            <w:r w:rsidRPr="00BF6D48">
              <w:rPr>
                <w:rFonts w:ascii="Times New Roman" w:hAnsi="Times New Roman" w:cs="Times New Roman"/>
                <w:sz w:val="20"/>
                <w:szCs w:val="20"/>
                <w:lang w:val="sr-Cyrl-BA"/>
              </w:rPr>
              <w:t>2</w:t>
            </w:r>
          </w:p>
        </w:tc>
        <w:tc>
          <w:tcPr>
            <w:tcW w:w="2559" w:type="dxa"/>
            <w:vAlign w:val="center"/>
          </w:tcPr>
          <w:p w14:paraId="4DE4AAA0" w14:textId="0A412FC9" w:rsidR="00BF6D48" w:rsidRPr="00BF6D4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Cyrl-BA" w:eastAsia="en-GB"/>
              </w:rPr>
            </w:pPr>
            <w:r w:rsidRPr="00BF6D48">
              <w:rPr>
                <w:rFonts w:ascii="Times New Roman" w:hAnsi="Times New Roman" w:cs="Times New Roman"/>
                <w:sz w:val="20"/>
                <w:szCs w:val="20"/>
                <w:lang w:val="sr-Cyrl-BA"/>
              </w:rPr>
              <w:t>17</w:t>
            </w:r>
          </w:p>
        </w:tc>
      </w:tr>
      <w:tr w:rsidR="00BF6D48" w:rsidRPr="004203B0" w14:paraId="3F2563A5" w14:textId="77777777" w:rsidTr="00DB7B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3F8E0F4A" w14:textId="77777777" w:rsidR="00BF6D48" w:rsidRPr="004203B0" w:rsidRDefault="00BF6D48" w:rsidP="00BF6D48">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Брокер</w:t>
            </w:r>
          </w:p>
        </w:tc>
        <w:tc>
          <w:tcPr>
            <w:tcW w:w="2377" w:type="dxa"/>
            <w:vAlign w:val="center"/>
          </w:tcPr>
          <w:p w14:paraId="47ED66CB" w14:textId="143399DF" w:rsidR="00BF6D48" w:rsidRPr="00BF6D48" w:rsidRDefault="00BF6D48" w:rsidP="00BF6D48">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BF6D48">
              <w:rPr>
                <w:rFonts w:ascii="Times New Roman" w:hAnsi="Times New Roman" w:cs="Times New Roman"/>
                <w:sz w:val="20"/>
                <w:szCs w:val="20"/>
              </w:rPr>
              <w:t>195</w:t>
            </w:r>
          </w:p>
        </w:tc>
        <w:tc>
          <w:tcPr>
            <w:tcW w:w="2559" w:type="dxa"/>
            <w:vAlign w:val="center"/>
          </w:tcPr>
          <w:p w14:paraId="798D5C93" w14:textId="6E5110A5" w:rsidR="00BF6D48" w:rsidRPr="00BF6D48" w:rsidRDefault="00BF6D48" w:rsidP="00BF6D48">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Cyrl-BA" w:eastAsia="en-GB"/>
              </w:rPr>
            </w:pPr>
            <w:r w:rsidRPr="00BF6D48">
              <w:rPr>
                <w:rFonts w:ascii="Times New Roman" w:hAnsi="Times New Roman" w:cs="Times New Roman"/>
                <w:sz w:val="20"/>
                <w:szCs w:val="20"/>
                <w:lang w:val="sr-Cyrl-BA"/>
              </w:rPr>
              <w:t>11</w:t>
            </w:r>
          </w:p>
        </w:tc>
      </w:tr>
      <w:tr w:rsidR="00BF6D48" w:rsidRPr="004203B0" w14:paraId="0B107C0E" w14:textId="77777777" w:rsidTr="00E2729B">
        <w:trPr>
          <w:cnfStyle w:val="000000100000" w:firstRow="0" w:lastRow="0" w:firstColumn="0" w:lastColumn="0" w:oddVBand="0" w:evenVBand="0" w:oddHBand="1" w:evenHBand="0" w:firstRowFirstColumn="0" w:firstRowLastColumn="0" w:lastRowFirstColumn="0" w:lastRowLastColumn="0"/>
          <w:trHeight w:val="178"/>
          <w:jc w:val="center"/>
        </w:trPr>
        <w:tc>
          <w:tcPr>
            <w:cnfStyle w:val="001000000000" w:firstRow="0" w:lastRow="0" w:firstColumn="1" w:lastColumn="0" w:oddVBand="0" w:evenVBand="0" w:oddHBand="0" w:evenHBand="0" w:firstRowFirstColumn="0" w:firstRowLastColumn="0" w:lastRowFirstColumn="0" w:lastRowLastColumn="0"/>
            <w:tcW w:w="2649" w:type="dxa"/>
          </w:tcPr>
          <w:p w14:paraId="186C8EAE" w14:textId="77777777" w:rsidR="00BF6D48" w:rsidRPr="004203B0" w:rsidRDefault="00BF6D48" w:rsidP="00BF6D48">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Инвестициони савјетник</w:t>
            </w:r>
          </w:p>
        </w:tc>
        <w:tc>
          <w:tcPr>
            <w:tcW w:w="2377" w:type="dxa"/>
            <w:vAlign w:val="center"/>
          </w:tcPr>
          <w:p w14:paraId="17AA659B" w14:textId="743AE8D4" w:rsidR="00BF6D48" w:rsidRPr="00BF6D4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BF6D48">
              <w:rPr>
                <w:rFonts w:ascii="Times New Roman" w:hAnsi="Times New Roman" w:cs="Times New Roman"/>
                <w:sz w:val="20"/>
                <w:szCs w:val="20"/>
              </w:rPr>
              <w:t>9</w:t>
            </w:r>
          </w:p>
        </w:tc>
        <w:tc>
          <w:tcPr>
            <w:tcW w:w="2559" w:type="dxa"/>
            <w:vAlign w:val="center"/>
          </w:tcPr>
          <w:p w14:paraId="7F08AE37" w14:textId="75BD5EEB" w:rsidR="00BF6D48" w:rsidRPr="00BF6D4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Cyrl-BA" w:eastAsia="en-GB"/>
              </w:rPr>
            </w:pPr>
            <w:r w:rsidRPr="00BF6D48">
              <w:rPr>
                <w:rFonts w:ascii="Times New Roman" w:hAnsi="Times New Roman" w:cs="Times New Roman"/>
                <w:sz w:val="20"/>
                <w:szCs w:val="20"/>
                <w:lang w:val="sr-Cyrl-BA"/>
              </w:rPr>
              <w:t>3</w:t>
            </w:r>
          </w:p>
        </w:tc>
      </w:tr>
      <w:tr w:rsidR="00A72AB0" w:rsidRPr="00EC6422" w14:paraId="04DA67D2" w14:textId="77777777" w:rsidTr="00DB7B1C">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1273D32C" w14:textId="77777777" w:rsidR="00A72AB0" w:rsidRPr="00DB7B1C" w:rsidRDefault="00A72AB0" w:rsidP="006B6E0C">
            <w:pPr>
              <w:pStyle w:val="ListParagraph"/>
              <w:spacing w:after="0" w:line="240" w:lineRule="auto"/>
              <w:ind w:left="0" w:firstLine="0"/>
              <w:contextualSpacing w:val="0"/>
              <w:rPr>
                <w:rFonts w:ascii="Times New Roman" w:hAnsi="Times New Roman"/>
                <w:sz w:val="22"/>
                <w:lang w:val="sr-Cyrl-BA"/>
              </w:rPr>
            </w:pPr>
            <w:r w:rsidRPr="00DB7B1C">
              <w:rPr>
                <w:rFonts w:ascii="Times New Roman" w:hAnsi="Times New Roman"/>
                <w:sz w:val="22"/>
                <w:lang w:val="sr-Cyrl-BA"/>
              </w:rPr>
              <w:t>Укупно</w:t>
            </w:r>
          </w:p>
        </w:tc>
        <w:tc>
          <w:tcPr>
            <w:tcW w:w="2377" w:type="dxa"/>
          </w:tcPr>
          <w:p w14:paraId="0078E74D" w14:textId="01496E47" w:rsidR="00A72AB0" w:rsidRPr="004203B0" w:rsidRDefault="00D3478F" w:rsidP="006B6E0C">
            <w:pPr>
              <w:tabs>
                <w:tab w:val="decimal" w:pos="132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r w:rsidRPr="004203B0">
              <w:rPr>
                <w:rFonts w:eastAsia="Times New Roman"/>
                <w:sz w:val="20"/>
                <w:szCs w:val="20"/>
                <w:lang w:val="en-GB" w:eastAsia="en-GB"/>
              </w:rPr>
              <w:fldChar w:fldCharType="begin"/>
            </w:r>
            <w:r w:rsidR="00A72AB0" w:rsidRPr="004203B0">
              <w:rPr>
                <w:rFonts w:ascii="Times New Roman" w:eastAsia="Times New Roman" w:hAnsi="Times New Roman" w:cs="Times New Roman"/>
                <w:sz w:val="20"/>
                <w:szCs w:val="20"/>
                <w:lang w:val="en-GB" w:eastAsia="en-GB"/>
              </w:rPr>
              <w:instrText xml:space="preserve"> =SUM(ABOVE) </w:instrText>
            </w:r>
            <w:r w:rsidRPr="004203B0">
              <w:rPr>
                <w:rFonts w:eastAsia="Times New Roman"/>
                <w:sz w:val="20"/>
                <w:szCs w:val="20"/>
                <w:lang w:val="en-GB" w:eastAsia="en-GB"/>
              </w:rPr>
              <w:fldChar w:fldCharType="separate"/>
            </w:r>
            <w:r w:rsidR="002C66E2">
              <w:rPr>
                <w:rFonts w:ascii="Times New Roman" w:eastAsia="Times New Roman" w:hAnsi="Times New Roman" w:cs="Times New Roman"/>
                <w:noProof/>
                <w:sz w:val="20"/>
                <w:szCs w:val="20"/>
                <w:lang w:val="en-GB" w:eastAsia="en-GB"/>
              </w:rPr>
              <w:t>436</w:t>
            </w:r>
            <w:r w:rsidRPr="004203B0">
              <w:rPr>
                <w:rFonts w:eastAsia="Times New Roman"/>
                <w:sz w:val="20"/>
                <w:szCs w:val="20"/>
                <w:lang w:val="en-GB" w:eastAsia="en-GB"/>
              </w:rPr>
              <w:fldChar w:fldCharType="end"/>
            </w:r>
          </w:p>
        </w:tc>
        <w:tc>
          <w:tcPr>
            <w:tcW w:w="2559" w:type="dxa"/>
            <w:vAlign w:val="center"/>
          </w:tcPr>
          <w:p w14:paraId="394E1DCF" w14:textId="3683E8C8" w:rsidR="00A72AB0" w:rsidRPr="004203B0" w:rsidRDefault="00DB7B1C" w:rsidP="006B6E0C">
            <w:pPr>
              <w:tabs>
                <w:tab w:val="decimal" w:pos="1353"/>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r>
              <w:rPr>
                <w:rFonts w:eastAsia="Times New Roman"/>
                <w:sz w:val="20"/>
                <w:szCs w:val="20"/>
                <w:lang w:val="en-GB" w:eastAsia="en-GB"/>
              </w:rPr>
              <w:fldChar w:fldCharType="begin"/>
            </w:r>
            <w:r>
              <w:rPr>
                <w:rFonts w:ascii="Times New Roman" w:eastAsia="Times New Roman" w:hAnsi="Times New Roman" w:cs="Times New Roman"/>
                <w:sz w:val="20"/>
                <w:szCs w:val="20"/>
                <w:lang w:val="en-GB" w:eastAsia="en-GB"/>
              </w:rPr>
              <w:instrText xml:space="preserve"> =SUM(ABOVE) </w:instrText>
            </w:r>
            <w:r>
              <w:rPr>
                <w:rFonts w:eastAsia="Times New Roman"/>
                <w:sz w:val="20"/>
                <w:szCs w:val="20"/>
                <w:lang w:val="en-GB" w:eastAsia="en-GB"/>
              </w:rPr>
              <w:fldChar w:fldCharType="separate"/>
            </w:r>
            <w:r w:rsidR="002C66E2">
              <w:rPr>
                <w:rFonts w:ascii="Times New Roman" w:eastAsia="Times New Roman" w:hAnsi="Times New Roman" w:cs="Times New Roman"/>
                <w:noProof/>
                <w:sz w:val="20"/>
                <w:szCs w:val="20"/>
                <w:lang w:val="en-GB" w:eastAsia="en-GB"/>
              </w:rPr>
              <w:t>31</w:t>
            </w:r>
            <w:r>
              <w:rPr>
                <w:rFonts w:eastAsia="Times New Roman"/>
                <w:sz w:val="20"/>
                <w:szCs w:val="20"/>
                <w:lang w:val="en-GB" w:eastAsia="en-GB"/>
              </w:rPr>
              <w:fldChar w:fldCharType="end"/>
            </w:r>
          </w:p>
        </w:tc>
      </w:tr>
    </w:tbl>
    <w:p w14:paraId="49CD8528" w14:textId="11297583" w:rsidR="008D04D1" w:rsidRPr="00EC6422" w:rsidRDefault="008D04D1" w:rsidP="00C37211">
      <w:pPr>
        <w:pStyle w:val="ListParagraph"/>
        <w:tabs>
          <w:tab w:val="left" w:pos="1276"/>
        </w:tabs>
        <w:spacing w:after="0" w:line="240" w:lineRule="auto"/>
        <w:ind w:left="1276" w:hanging="1276"/>
        <w:contextualSpacing w:val="0"/>
        <w:rPr>
          <w:lang w:val="sr-Cyrl-BA"/>
        </w:rPr>
      </w:pPr>
      <w:r w:rsidRPr="00EC6422">
        <w:rPr>
          <w:b/>
          <w:lang w:val="sr-Cyrl-BA"/>
        </w:rPr>
        <w:t xml:space="preserve">Табела </w:t>
      </w:r>
      <w:r w:rsidR="00D3478F" w:rsidRPr="00EC6422">
        <w:rPr>
          <w:b/>
          <w:lang w:val="sr-Cyrl-BA"/>
        </w:rPr>
        <w:fldChar w:fldCharType="begin"/>
      </w:r>
      <w:r w:rsidRPr="00EC6422">
        <w:rPr>
          <w:b/>
          <w:lang w:val="sr-Cyrl-BA"/>
        </w:rPr>
        <w:instrText xml:space="preserve"> SEQ Табела \* ARABIC </w:instrText>
      </w:r>
      <w:r w:rsidR="00D3478F" w:rsidRPr="00EC6422">
        <w:rPr>
          <w:b/>
          <w:lang w:val="sr-Cyrl-BA"/>
        </w:rPr>
        <w:fldChar w:fldCharType="separate"/>
      </w:r>
      <w:r w:rsidR="00C64B5B">
        <w:rPr>
          <w:b/>
          <w:noProof/>
          <w:lang w:val="sr-Cyrl-BA"/>
        </w:rPr>
        <w:t>12</w:t>
      </w:r>
      <w:r w:rsidR="00D3478F" w:rsidRPr="00EC6422">
        <w:rPr>
          <w:b/>
          <w:lang w:val="sr-Cyrl-BA"/>
        </w:rPr>
        <w:fldChar w:fldCharType="end"/>
      </w:r>
      <w:r w:rsidRPr="00EC6422">
        <w:rPr>
          <w:b/>
          <w:lang w:val="sr-Cyrl-BA"/>
        </w:rPr>
        <w:t>.</w:t>
      </w:r>
      <w:r w:rsidRPr="00EC6422">
        <w:rPr>
          <w:b/>
          <w:lang w:val="sr-Cyrl-BA"/>
        </w:rPr>
        <w:tab/>
      </w:r>
      <w:r w:rsidRPr="00EC6422">
        <w:rPr>
          <w:lang w:val="sr-Cyrl-BA"/>
        </w:rPr>
        <w:t>Број лица са одговарајућим професионалним звањем и са дозволом за обављање пословања на дан 31.12.</w:t>
      </w:r>
      <w:r w:rsidR="00434025">
        <w:rPr>
          <w:lang w:val="sr-Latn-BA"/>
        </w:rPr>
        <w:t>202</w:t>
      </w:r>
      <w:r w:rsidR="002C66E2">
        <w:rPr>
          <w:lang w:val="sr-Cyrl-BA"/>
        </w:rPr>
        <w:t>3</w:t>
      </w:r>
      <w:r w:rsidRPr="00EC6422">
        <w:rPr>
          <w:lang w:val="sr-Cyrl-BA"/>
        </w:rPr>
        <w:t>. године</w:t>
      </w:r>
    </w:p>
    <w:p w14:paraId="234857C9" w14:textId="7CE38CE4" w:rsidR="00652230" w:rsidRPr="00862B4B" w:rsidRDefault="00652230" w:rsidP="00652230">
      <w:pPr>
        <w:spacing w:line="240" w:lineRule="auto"/>
        <w:ind w:firstLine="567"/>
        <w:rPr>
          <w:lang w:val="sr-Cyrl-BA"/>
        </w:rPr>
      </w:pPr>
      <w:r w:rsidRPr="00862B4B">
        <w:rPr>
          <w:lang w:val="sr-Cyrl-BA"/>
        </w:rPr>
        <w:lastRenderedPageBreak/>
        <w:t xml:space="preserve">У </w:t>
      </w:r>
      <w:r>
        <w:rPr>
          <w:lang w:val="sr-Cyrl-BA"/>
        </w:rPr>
        <w:t>2023. год</w:t>
      </w:r>
      <w:r w:rsidR="002C66E2">
        <w:rPr>
          <w:lang w:val="sr-Cyrl-BA"/>
        </w:rPr>
        <w:t>и</w:t>
      </w:r>
      <w:r>
        <w:rPr>
          <w:lang w:val="sr-Cyrl-BA"/>
        </w:rPr>
        <w:t>ни</w:t>
      </w:r>
      <w:r w:rsidRPr="00862B4B">
        <w:rPr>
          <w:lang w:val="sr-Cyrl-BA"/>
        </w:rPr>
        <w:t xml:space="preserve"> издат</w:t>
      </w:r>
      <w:r>
        <w:rPr>
          <w:lang w:val="sr-Cyrl-BA"/>
        </w:rPr>
        <w:t>е</w:t>
      </w:r>
      <w:r w:rsidRPr="00862B4B">
        <w:rPr>
          <w:lang w:val="sr-Cyrl-BA"/>
        </w:rPr>
        <w:t xml:space="preserve"> </w:t>
      </w:r>
      <w:r>
        <w:rPr>
          <w:lang w:val="sr-Cyrl-BA"/>
        </w:rPr>
        <w:t>су</w:t>
      </w:r>
      <w:r w:rsidRPr="00862B4B">
        <w:rPr>
          <w:lang w:val="sr-Cyrl-BA"/>
        </w:rPr>
        <w:t xml:space="preserve"> </w:t>
      </w:r>
      <w:r>
        <w:rPr>
          <w:lang w:val="sr-Cyrl-BA"/>
        </w:rPr>
        <w:t>три</w:t>
      </w:r>
      <w:r w:rsidRPr="00862B4B">
        <w:rPr>
          <w:lang w:val="sr-Cyrl-BA"/>
        </w:rPr>
        <w:t xml:space="preserve"> нов</w:t>
      </w:r>
      <w:r>
        <w:rPr>
          <w:lang w:val="sr-Cyrl-BA"/>
        </w:rPr>
        <w:t>е</w:t>
      </w:r>
      <w:r w:rsidRPr="00862B4B">
        <w:rPr>
          <w:lang w:val="sr-Cyrl-BA"/>
        </w:rPr>
        <w:t xml:space="preserve"> дозвол</w:t>
      </w:r>
      <w:r>
        <w:rPr>
          <w:lang w:val="sr-Cyrl-BA"/>
        </w:rPr>
        <w:t>е</w:t>
      </w:r>
      <w:r w:rsidRPr="00862B4B">
        <w:rPr>
          <w:lang w:val="sr-Cyrl-BA"/>
        </w:rPr>
        <w:t xml:space="preserve"> за обављање послова са хартијама од вриједности у звању инвестициони менаџер и </w:t>
      </w:r>
      <w:r>
        <w:rPr>
          <w:lang w:val="sr-Cyrl-BA"/>
        </w:rPr>
        <w:t>пет</w:t>
      </w:r>
      <w:r w:rsidRPr="00862B4B">
        <w:rPr>
          <w:lang w:val="sr-Cyrl-BA"/>
        </w:rPr>
        <w:t xml:space="preserve"> дозвола за обављање послова са хартијама од вриједности у звању брокер.</w:t>
      </w:r>
    </w:p>
    <w:p w14:paraId="295C816E" w14:textId="3D3CB424" w:rsidR="00652230" w:rsidRDefault="00652230" w:rsidP="00652230">
      <w:pPr>
        <w:spacing w:line="240" w:lineRule="auto"/>
        <w:ind w:firstLine="567"/>
        <w:rPr>
          <w:lang w:val="sr-Cyrl-BA"/>
        </w:rPr>
      </w:pPr>
      <w:r w:rsidRPr="00862B4B">
        <w:rPr>
          <w:lang w:val="sr-Cyrl-BA"/>
        </w:rPr>
        <w:t>Такође, Комисија је продужила</w:t>
      </w:r>
      <w:r w:rsidRPr="00652230">
        <w:rPr>
          <w:lang w:val="sr-Cyrl-BA"/>
        </w:rPr>
        <w:t xml:space="preserve"> </w:t>
      </w:r>
      <w:r w:rsidR="009C0BB3">
        <w:rPr>
          <w:lang w:val="sr-Cyrl-BA"/>
        </w:rPr>
        <w:t xml:space="preserve">важење </w:t>
      </w:r>
      <w:r>
        <w:rPr>
          <w:lang w:val="sr-Cyrl-BA"/>
        </w:rPr>
        <w:t>шест</w:t>
      </w:r>
      <w:r w:rsidRPr="00862B4B">
        <w:rPr>
          <w:lang w:val="sr-Cyrl-BA"/>
        </w:rPr>
        <w:t xml:space="preserve"> дозвол</w:t>
      </w:r>
      <w:r>
        <w:rPr>
          <w:lang w:val="sr-Cyrl-BA"/>
        </w:rPr>
        <w:t>а</w:t>
      </w:r>
      <w:r w:rsidRPr="00652230">
        <w:rPr>
          <w:lang w:val="sr-Cyrl-BA"/>
        </w:rPr>
        <w:t xml:space="preserve"> </w:t>
      </w:r>
      <w:r w:rsidRPr="00862B4B">
        <w:rPr>
          <w:lang w:val="sr-Cyrl-BA"/>
        </w:rPr>
        <w:t>за обављање послова са хартијама од вриједности у звању инвестицион</w:t>
      </w:r>
      <w:r w:rsidR="009C0BB3">
        <w:rPr>
          <w:lang w:val="sr-Cyrl-BA"/>
        </w:rPr>
        <w:t>и</w:t>
      </w:r>
      <w:r w:rsidRPr="00862B4B">
        <w:rPr>
          <w:lang w:val="sr-Cyrl-BA"/>
        </w:rPr>
        <w:t xml:space="preserve"> менаџер, </w:t>
      </w:r>
      <w:r>
        <w:rPr>
          <w:lang w:val="sr-Cyrl-BA"/>
        </w:rPr>
        <w:t>пет</w:t>
      </w:r>
      <w:r w:rsidRPr="00862B4B">
        <w:rPr>
          <w:lang w:val="sr-Cyrl-BA"/>
        </w:rPr>
        <w:t xml:space="preserve"> дозвол</w:t>
      </w:r>
      <w:r>
        <w:rPr>
          <w:lang w:val="sr-Cyrl-BA"/>
        </w:rPr>
        <w:t>а</w:t>
      </w:r>
      <w:r w:rsidRPr="00862B4B">
        <w:rPr>
          <w:lang w:val="sr-Cyrl-BA"/>
        </w:rPr>
        <w:t xml:space="preserve"> за обављање послова са хартијама од вриједности у звању брокер и једну дозволу за обављање послова са хартијама од вр</w:t>
      </w:r>
      <w:r>
        <w:rPr>
          <w:lang w:val="sr-Cyrl-BA"/>
        </w:rPr>
        <w:t>и</w:t>
      </w:r>
      <w:r w:rsidRPr="00862B4B">
        <w:rPr>
          <w:lang w:val="sr-Cyrl-BA"/>
        </w:rPr>
        <w:t xml:space="preserve">једности у звању инвестициони савјетник, док су одузете </w:t>
      </w:r>
      <w:r>
        <w:rPr>
          <w:lang w:val="sr-Cyrl-BA"/>
        </w:rPr>
        <w:t>двије</w:t>
      </w:r>
      <w:r w:rsidRPr="00862B4B">
        <w:rPr>
          <w:lang w:val="sr-Cyrl-BA"/>
        </w:rPr>
        <w:t xml:space="preserve"> дозволе за обављање послова са хартијама од вриједности у звању инвестицион</w:t>
      </w:r>
      <w:r w:rsidR="009C0BB3">
        <w:rPr>
          <w:lang w:val="sr-Cyrl-BA"/>
        </w:rPr>
        <w:t>и</w:t>
      </w:r>
      <w:r w:rsidRPr="00862B4B">
        <w:rPr>
          <w:lang w:val="sr-Cyrl-BA"/>
        </w:rPr>
        <w:t xml:space="preserve"> менаџер </w:t>
      </w:r>
      <w:r>
        <w:rPr>
          <w:lang w:val="sr-Cyrl-BA"/>
        </w:rPr>
        <w:t>због</w:t>
      </w:r>
      <w:r w:rsidRPr="00862B4B">
        <w:rPr>
          <w:lang w:val="sr-Cyrl-BA"/>
        </w:rPr>
        <w:t xml:space="preserve"> престанка радног односа</w:t>
      </w:r>
      <w:r>
        <w:rPr>
          <w:lang w:val="sr-Cyrl-BA"/>
        </w:rPr>
        <w:t>, као и четири дозволе за обављање послова у звању брокер, због престанка радног односа.</w:t>
      </w:r>
    </w:p>
    <w:p w14:paraId="4E284F81" w14:textId="750F69D3" w:rsidR="00652230" w:rsidRDefault="00652230" w:rsidP="009C0BB3">
      <w:pPr>
        <w:rPr>
          <w:lang w:val="sr-Cyrl-BA"/>
        </w:rPr>
      </w:pPr>
      <w:r>
        <w:rPr>
          <w:lang w:val="sr-Cyrl-BA"/>
        </w:rPr>
        <w:t xml:space="preserve">Комисија је крајем 2023. године донијела Одлуку о утврђивању испитних рокова за 2024. годину. Такође, </w:t>
      </w:r>
      <w:r w:rsidR="009C0BB3" w:rsidRPr="009C0BB3">
        <w:rPr>
          <w:lang w:val="sr-Cyrl-BA"/>
        </w:rPr>
        <w:t xml:space="preserve">у циљу промоције и </w:t>
      </w:r>
      <w:proofErr w:type="spellStart"/>
      <w:r w:rsidR="009C0BB3" w:rsidRPr="009C0BB3">
        <w:rPr>
          <w:lang w:val="sr-Cyrl-BA"/>
        </w:rPr>
        <w:t>унапређења</w:t>
      </w:r>
      <w:proofErr w:type="spellEnd"/>
      <w:r w:rsidR="009C0BB3" w:rsidRPr="009C0BB3">
        <w:rPr>
          <w:lang w:val="sr-Cyrl-BA"/>
        </w:rPr>
        <w:t xml:space="preserve"> тржишта хартија од вриједности у Републици Српској, Комисија је донијела Одлуку којом сва заинтересована лица ослобађа од обавезе плаћања накнаде за полагање стручног испита за стицање звања брокер, инвестициони савјетник и инвестициони менаџер</w:t>
      </w:r>
      <w:r w:rsidR="009C0BB3">
        <w:rPr>
          <w:lang w:val="sr-Cyrl-BA"/>
        </w:rPr>
        <w:t xml:space="preserve"> </w:t>
      </w:r>
      <w:r>
        <w:rPr>
          <w:lang w:val="sr-Cyrl-BA"/>
        </w:rPr>
        <w:t>у 2024. години.</w:t>
      </w:r>
    </w:p>
    <w:p w14:paraId="72F666E3" w14:textId="7B7EED03" w:rsidR="006C0A13" w:rsidRDefault="00652230" w:rsidP="00652230">
      <w:pPr>
        <w:spacing w:line="240" w:lineRule="auto"/>
        <w:ind w:firstLine="567"/>
        <w:rPr>
          <w:lang w:val="sr-Cyrl-BA"/>
        </w:rPr>
      </w:pPr>
      <w:r>
        <w:rPr>
          <w:lang w:val="sr-Cyrl-BA"/>
        </w:rPr>
        <w:t>Усвојен је и један одговор на упит у вези са полагањем испита за стицање звања инвестициони менаџер</w:t>
      </w:r>
    </w:p>
    <w:p w14:paraId="3BDDE533" w14:textId="63E1EC03" w:rsidR="00C37211" w:rsidRDefault="00C37211" w:rsidP="00C37211">
      <w:pPr>
        <w:spacing w:line="240" w:lineRule="auto"/>
        <w:ind w:firstLine="567"/>
        <w:rPr>
          <w:lang w:val="sr-Cyrl-BA"/>
        </w:rPr>
      </w:pPr>
      <w:r w:rsidRPr="00FE00C5">
        <w:rPr>
          <w:lang w:val="sr-Cyrl-BA"/>
        </w:rPr>
        <w:t xml:space="preserve">У наредном табеларном </w:t>
      </w:r>
      <w:proofErr w:type="spellStart"/>
      <w:r w:rsidRPr="00FE00C5">
        <w:rPr>
          <w:lang w:val="sr-Cyrl-BA"/>
        </w:rPr>
        <w:t>прегледу</w:t>
      </w:r>
      <w:proofErr w:type="spellEnd"/>
      <w:r w:rsidRPr="00FE00C5">
        <w:rPr>
          <w:lang w:val="sr-Cyrl-BA"/>
        </w:rPr>
        <w:t xml:space="preserve"> дати су показатељи о поступцима у вези са дозволама физичким лицима за обављање послова са хартијама од вриједности:</w:t>
      </w:r>
    </w:p>
    <w:tbl>
      <w:tblPr>
        <w:tblStyle w:val="LightGrid-Accent11"/>
        <w:tblW w:w="8733" w:type="dxa"/>
        <w:jc w:val="center"/>
        <w:tblLayout w:type="fixed"/>
        <w:tblLook w:val="04A0" w:firstRow="1" w:lastRow="0" w:firstColumn="1" w:lastColumn="0" w:noHBand="0" w:noVBand="1"/>
      </w:tblPr>
      <w:tblGrid>
        <w:gridCol w:w="2268"/>
        <w:gridCol w:w="685"/>
        <w:gridCol w:w="722"/>
        <w:gridCol w:w="723"/>
        <w:gridCol w:w="722"/>
        <w:gridCol w:w="723"/>
        <w:gridCol w:w="722"/>
        <w:gridCol w:w="723"/>
        <w:gridCol w:w="722"/>
        <w:gridCol w:w="723"/>
      </w:tblGrid>
      <w:tr w:rsidR="00C37211" w:rsidRPr="0053265D" w14:paraId="582326C4" w14:textId="77777777" w:rsidTr="00AE35A2">
        <w:trPr>
          <w:cnfStyle w:val="100000000000" w:firstRow="1" w:lastRow="0" w:firstColumn="0" w:lastColumn="0" w:oddVBand="0" w:evenVBand="0" w:oddHBand="0" w:evenHBand="0" w:firstRowFirstColumn="0" w:firstRowLastColumn="0" w:lastRowFirstColumn="0" w:lastRowLastColumn="0"/>
          <w:trHeight w:val="571"/>
          <w:jc w:val="center"/>
        </w:trPr>
        <w:tc>
          <w:tcPr>
            <w:cnfStyle w:val="001000000000" w:firstRow="0" w:lastRow="0" w:firstColumn="1" w:lastColumn="0" w:oddVBand="0" w:evenVBand="0" w:oddHBand="0" w:evenHBand="0" w:firstRowFirstColumn="0" w:firstRowLastColumn="0" w:lastRowFirstColumn="0" w:lastRowLastColumn="0"/>
            <w:tcW w:w="2268" w:type="dxa"/>
            <w:vMerge w:val="restart"/>
            <w:tcBorders>
              <w:tl2br w:val="single" w:sz="2" w:space="0" w:color="365F91" w:themeColor="accent1" w:themeShade="BF"/>
            </w:tcBorders>
          </w:tcPr>
          <w:p w14:paraId="09454402" w14:textId="77777777" w:rsidR="00C37211" w:rsidRPr="0053265D" w:rsidRDefault="00C37211" w:rsidP="00C37211">
            <w:pPr>
              <w:pStyle w:val="ListParagraph"/>
              <w:spacing w:after="0" w:line="240" w:lineRule="auto"/>
              <w:ind w:left="0" w:firstLine="0"/>
              <w:contextualSpacing w:val="0"/>
              <w:jc w:val="right"/>
              <w:rPr>
                <w:rFonts w:ascii="Times New Roman" w:hAnsi="Times New Roman" w:cs="Times New Roman"/>
                <w:sz w:val="22"/>
                <w:szCs w:val="22"/>
                <w:lang w:val="sr-Cyrl-BA"/>
              </w:rPr>
            </w:pPr>
          </w:p>
          <w:p w14:paraId="414EA392" w14:textId="77777777" w:rsidR="00C37211" w:rsidRPr="0053265D" w:rsidRDefault="00C37211" w:rsidP="005E1D59">
            <w:pPr>
              <w:pStyle w:val="ListParagraph"/>
              <w:spacing w:after="0" w:line="240" w:lineRule="auto"/>
              <w:ind w:left="0" w:right="176" w:firstLine="0"/>
              <w:contextualSpacing w:val="0"/>
              <w:jc w:val="right"/>
              <w:rPr>
                <w:rFonts w:ascii="Times New Roman" w:hAnsi="Times New Roman" w:cs="Times New Roman"/>
                <w:sz w:val="22"/>
                <w:szCs w:val="22"/>
                <w:lang w:val="sr-Cyrl-BA"/>
              </w:rPr>
            </w:pPr>
            <w:r w:rsidRPr="0053265D">
              <w:rPr>
                <w:rFonts w:ascii="Times New Roman" w:hAnsi="Times New Roman" w:cs="Times New Roman"/>
                <w:sz w:val="22"/>
                <w:szCs w:val="22"/>
                <w:lang w:val="sr-Cyrl-BA"/>
              </w:rPr>
              <w:t xml:space="preserve">        Врсте дозвола</w:t>
            </w:r>
          </w:p>
          <w:p w14:paraId="00E5DD47" w14:textId="77777777" w:rsidR="00C37211" w:rsidRPr="0053265D"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0D6699FA" w14:textId="77777777" w:rsidR="00C37211" w:rsidRPr="0053265D"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2013FC8D" w14:textId="77777777" w:rsidR="005E1D59" w:rsidRPr="0053265D"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5467A755" w14:textId="77777777" w:rsidR="005E1D59" w:rsidRPr="0053265D"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r w:rsidRPr="0053265D">
              <w:rPr>
                <w:rFonts w:ascii="Times New Roman" w:hAnsi="Times New Roman" w:cs="Times New Roman"/>
                <w:sz w:val="22"/>
                <w:szCs w:val="22"/>
                <w:lang w:val="sr-Cyrl-BA"/>
              </w:rPr>
              <w:t>Извјештајни</w:t>
            </w:r>
          </w:p>
          <w:p w14:paraId="07F23011" w14:textId="2619EDDC" w:rsidR="00C37211" w:rsidRPr="0053265D" w:rsidRDefault="00C37211" w:rsidP="005E1D59">
            <w:pPr>
              <w:pStyle w:val="ListParagraph"/>
              <w:spacing w:after="0" w:line="240" w:lineRule="auto"/>
              <w:ind w:left="284" w:hanging="284"/>
              <w:contextualSpacing w:val="0"/>
              <w:jc w:val="left"/>
              <w:rPr>
                <w:rFonts w:ascii="Times New Roman" w:hAnsi="Times New Roman" w:cs="Times New Roman"/>
                <w:sz w:val="22"/>
                <w:szCs w:val="22"/>
                <w:lang w:val="sr-Cyrl-BA"/>
              </w:rPr>
            </w:pPr>
            <w:r w:rsidRPr="0053265D">
              <w:rPr>
                <w:rFonts w:ascii="Times New Roman" w:hAnsi="Times New Roman" w:cs="Times New Roman"/>
                <w:sz w:val="22"/>
                <w:szCs w:val="22"/>
                <w:lang w:val="sr-Cyrl-BA"/>
              </w:rPr>
              <w:t>период</w:t>
            </w:r>
          </w:p>
        </w:tc>
        <w:tc>
          <w:tcPr>
            <w:tcW w:w="2130" w:type="dxa"/>
            <w:gridSpan w:val="3"/>
            <w:tcBorders>
              <w:bottom w:val="single" w:sz="2" w:space="0" w:color="365F91" w:themeColor="accent1" w:themeShade="BF"/>
            </w:tcBorders>
          </w:tcPr>
          <w:p w14:paraId="712ABD49"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Инвестициони менаџери</w:t>
            </w:r>
          </w:p>
        </w:tc>
        <w:tc>
          <w:tcPr>
            <w:tcW w:w="2167" w:type="dxa"/>
            <w:gridSpan w:val="3"/>
            <w:tcBorders>
              <w:bottom w:val="single" w:sz="2" w:space="0" w:color="365F91" w:themeColor="accent1" w:themeShade="BF"/>
            </w:tcBorders>
          </w:tcPr>
          <w:p w14:paraId="0FAC93CE"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Брокери</w:t>
            </w:r>
          </w:p>
        </w:tc>
        <w:tc>
          <w:tcPr>
            <w:tcW w:w="2168" w:type="dxa"/>
            <w:gridSpan w:val="3"/>
            <w:tcBorders>
              <w:bottom w:val="single" w:sz="2" w:space="0" w:color="365F91" w:themeColor="accent1" w:themeShade="BF"/>
            </w:tcBorders>
          </w:tcPr>
          <w:p w14:paraId="6AAF0A18"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Инвестициони савјетници</w:t>
            </w:r>
          </w:p>
        </w:tc>
      </w:tr>
      <w:tr w:rsidR="00C37211" w:rsidRPr="0053265D" w14:paraId="1189691E" w14:textId="77777777" w:rsidTr="00AE35A2">
        <w:trPr>
          <w:cnfStyle w:val="000000100000" w:firstRow="0" w:lastRow="0" w:firstColumn="0" w:lastColumn="0" w:oddVBand="0" w:evenVBand="0" w:oddHBand="1" w:evenHBand="0" w:firstRowFirstColumn="0" w:firstRowLastColumn="0" w:lastRowFirstColumn="0" w:lastRowLastColumn="0"/>
          <w:trHeight w:val="1385"/>
          <w:jc w:val="center"/>
        </w:trPr>
        <w:tc>
          <w:tcPr>
            <w:cnfStyle w:val="001000000000" w:firstRow="0" w:lastRow="0" w:firstColumn="1" w:lastColumn="0" w:oddVBand="0" w:evenVBand="0" w:oddHBand="0" w:evenHBand="0" w:firstRowFirstColumn="0" w:firstRowLastColumn="0" w:lastRowFirstColumn="0" w:lastRowLastColumn="0"/>
            <w:tcW w:w="2268" w:type="dxa"/>
            <w:vMerge/>
            <w:tcBorders>
              <w:bottom w:val="single" w:sz="18" w:space="0" w:color="365F91" w:themeColor="accent1" w:themeShade="BF"/>
            </w:tcBorders>
            <w:textDirection w:val="btLr"/>
          </w:tcPr>
          <w:p w14:paraId="57930432" w14:textId="77777777" w:rsidR="00C37211" w:rsidRPr="0053265D" w:rsidRDefault="00C37211" w:rsidP="00C37211">
            <w:pPr>
              <w:pStyle w:val="ListParagraph"/>
              <w:spacing w:after="0" w:line="240" w:lineRule="auto"/>
              <w:ind w:left="113" w:right="113" w:firstLine="0"/>
              <w:contextualSpacing w:val="0"/>
              <w:jc w:val="center"/>
              <w:rPr>
                <w:rFonts w:ascii="Times New Roman" w:hAnsi="Times New Roman" w:cs="Times New Roman"/>
                <w:sz w:val="22"/>
                <w:szCs w:val="22"/>
                <w:lang w:val="sr-Cyrl-BA"/>
              </w:rPr>
            </w:pPr>
          </w:p>
        </w:tc>
        <w:tc>
          <w:tcPr>
            <w:tcW w:w="685" w:type="dxa"/>
            <w:tcBorders>
              <w:top w:val="single" w:sz="2" w:space="0" w:color="365F91" w:themeColor="accent1" w:themeShade="BF"/>
              <w:bottom w:val="single" w:sz="18" w:space="0" w:color="365F91" w:themeColor="accent1" w:themeShade="BF"/>
            </w:tcBorders>
            <w:shd w:val="clear" w:color="auto" w:fill="auto"/>
            <w:textDirection w:val="btLr"/>
          </w:tcPr>
          <w:p w14:paraId="3E14C795"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E397BAA"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4A0F1C"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A3283A8"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F19FBE"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568A2273"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0C587B3C"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97C5E07"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732FF2FA"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r>
      <w:tr w:rsidR="00C37211" w:rsidRPr="0053265D" w14:paraId="18FEC2A3"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0ADE5D2" w14:textId="77777777" w:rsidR="00C37211" w:rsidRPr="0053265D"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2017.</w:t>
            </w:r>
          </w:p>
        </w:tc>
        <w:tc>
          <w:tcPr>
            <w:tcW w:w="685" w:type="dxa"/>
          </w:tcPr>
          <w:p w14:paraId="6A5690EA"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4</w:t>
            </w:r>
          </w:p>
        </w:tc>
        <w:tc>
          <w:tcPr>
            <w:tcW w:w="722" w:type="dxa"/>
          </w:tcPr>
          <w:p w14:paraId="160242DE"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4</w:t>
            </w:r>
          </w:p>
        </w:tc>
        <w:tc>
          <w:tcPr>
            <w:tcW w:w="723" w:type="dxa"/>
          </w:tcPr>
          <w:p w14:paraId="6FCBFAAA"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1</w:t>
            </w:r>
          </w:p>
        </w:tc>
        <w:tc>
          <w:tcPr>
            <w:tcW w:w="722" w:type="dxa"/>
          </w:tcPr>
          <w:p w14:paraId="7F5C388D"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6</w:t>
            </w:r>
          </w:p>
        </w:tc>
        <w:tc>
          <w:tcPr>
            <w:tcW w:w="723" w:type="dxa"/>
          </w:tcPr>
          <w:p w14:paraId="0FF26F8A"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4</w:t>
            </w:r>
          </w:p>
        </w:tc>
        <w:tc>
          <w:tcPr>
            <w:tcW w:w="722" w:type="dxa"/>
          </w:tcPr>
          <w:p w14:paraId="62ADAD6A"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1</w:t>
            </w:r>
          </w:p>
        </w:tc>
        <w:tc>
          <w:tcPr>
            <w:tcW w:w="723" w:type="dxa"/>
          </w:tcPr>
          <w:p w14:paraId="3BE2A2C2"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2</w:t>
            </w:r>
          </w:p>
        </w:tc>
        <w:tc>
          <w:tcPr>
            <w:tcW w:w="722" w:type="dxa"/>
          </w:tcPr>
          <w:p w14:paraId="008AD1DC"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c>
          <w:tcPr>
            <w:tcW w:w="723" w:type="dxa"/>
          </w:tcPr>
          <w:p w14:paraId="68A18F2E"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r>
      <w:tr w:rsidR="00C37211" w:rsidRPr="0053265D" w14:paraId="43BA42E3"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07DADE0" w14:textId="77777777" w:rsidR="00C37211" w:rsidRPr="0053265D"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2018.</w:t>
            </w:r>
          </w:p>
        </w:tc>
        <w:tc>
          <w:tcPr>
            <w:tcW w:w="685" w:type="dxa"/>
          </w:tcPr>
          <w:p w14:paraId="708428DD"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3</w:t>
            </w:r>
          </w:p>
        </w:tc>
        <w:tc>
          <w:tcPr>
            <w:tcW w:w="722" w:type="dxa"/>
          </w:tcPr>
          <w:p w14:paraId="192092DC"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6</w:t>
            </w:r>
          </w:p>
        </w:tc>
        <w:tc>
          <w:tcPr>
            <w:tcW w:w="723" w:type="dxa"/>
          </w:tcPr>
          <w:p w14:paraId="11AEC86F"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3</w:t>
            </w:r>
          </w:p>
        </w:tc>
        <w:tc>
          <w:tcPr>
            <w:tcW w:w="722" w:type="dxa"/>
          </w:tcPr>
          <w:p w14:paraId="794BFAE0"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en-GB"/>
              </w:rPr>
              <w:t>1</w:t>
            </w:r>
          </w:p>
        </w:tc>
        <w:tc>
          <w:tcPr>
            <w:tcW w:w="723" w:type="dxa"/>
          </w:tcPr>
          <w:p w14:paraId="72E4582F"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2</w:t>
            </w:r>
          </w:p>
        </w:tc>
        <w:tc>
          <w:tcPr>
            <w:tcW w:w="722" w:type="dxa"/>
          </w:tcPr>
          <w:p w14:paraId="3D180A2C"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2</w:t>
            </w:r>
          </w:p>
        </w:tc>
        <w:tc>
          <w:tcPr>
            <w:tcW w:w="723" w:type="dxa"/>
          </w:tcPr>
          <w:p w14:paraId="5E4B00A4"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en-GB"/>
              </w:rPr>
              <w:t>0</w:t>
            </w:r>
          </w:p>
        </w:tc>
        <w:tc>
          <w:tcPr>
            <w:tcW w:w="722" w:type="dxa"/>
          </w:tcPr>
          <w:p w14:paraId="7E64786E"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1</w:t>
            </w:r>
          </w:p>
        </w:tc>
        <w:tc>
          <w:tcPr>
            <w:tcW w:w="723" w:type="dxa"/>
          </w:tcPr>
          <w:p w14:paraId="6F6D0088"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53265D">
              <w:rPr>
                <w:rFonts w:ascii="Times New Roman" w:hAnsi="Times New Roman" w:cs="Times New Roman"/>
                <w:sz w:val="22"/>
                <w:szCs w:val="22"/>
                <w:lang w:val="en-GB"/>
              </w:rPr>
              <w:t>0</w:t>
            </w:r>
          </w:p>
        </w:tc>
      </w:tr>
      <w:tr w:rsidR="00C37211" w:rsidRPr="0053265D" w14:paraId="3A677A1A"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5BA4E471" w14:textId="77777777" w:rsidR="00C37211" w:rsidRPr="0053265D"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2019.</w:t>
            </w:r>
          </w:p>
        </w:tc>
        <w:tc>
          <w:tcPr>
            <w:tcW w:w="685" w:type="dxa"/>
          </w:tcPr>
          <w:p w14:paraId="5FDCA50E"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3</w:t>
            </w:r>
          </w:p>
        </w:tc>
        <w:tc>
          <w:tcPr>
            <w:tcW w:w="722" w:type="dxa"/>
          </w:tcPr>
          <w:p w14:paraId="2EB4FA68"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6</w:t>
            </w:r>
          </w:p>
        </w:tc>
        <w:tc>
          <w:tcPr>
            <w:tcW w:w="723" w:type="dxa"/>
          </w:tcPr>
          <w:p w14:paraId="6FF725F8"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2</w:t>
            </w:r>
          </w:p>
        </w:tc>
        <w:tc>
          <w:tcPr>
            <w:tcW w:w="722" w:type="dxa"/>
          </w:tcPr>
          <w:p w14:paraId="77789227"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2</w:t>
            </w:r>
          </w:p>
        </w:tc>
        <w:tc>
          <w:tcPr>
            <w:tcW w:w="723" w:type="dxa"/>
          </w:tcPr>
          <w:p w14:paraId="678BD422"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5</w:t>
            </w:r>
          </w:p>
        </w:tc>
        <w:tc>
          <w:tcPr>
            <w:tcW w:w="722" w:type="dxa"/>
          </w:tcPr>
          <w:p w14:paraId="7A5600D4"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1</w:t>
            </w:r>
          </w:p>
        </w:tc>
        <w:tc>
          <w:tcPr>
            <w:tcW w:w="723" w:type="dxa"/>
          </w:tcPr>
          <w:p w14:paraId="506AB51C"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c>
          <w:tcPr>
            <w:tcW w:w="722" w:type="dxa"/>
          </w:tcPr>
          <w:p w14:paraId="28B2C2D3"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2</w:t>
            </w:r>
          </w:p>
        </w:tc>
        <w:tc>
          <w:tcPr>
            <w:tcW w:w="723" w:type="dxa"/>
          </w:tcPr>
          <w:p w14:paraId="6CE8CF59"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r>
      <w:tr w:rsidR="00C37211" w:rsidRPr="0053265D" w14:paraId="0C3AEABC"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2EC3F929" w14:textId="77777777" w:rsidR="00C37211" w:rsidRPr="0053265D"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2020.</w:t>
            </w:r>
          </w:p>
        </w:tc>
        <w:tc>
          <w:tcPr>
            <w:tcW w:w="685" w:type="dxa"/>
          </w:tcPr>
          <w:p w14:paraId="2F3A58D6"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2</w:t>
            </w:r>
          </w:p>
        </w:tc>
        <w:tc>
          <w:tcPr>
            <w:tcW w:w="722" w:type="dxa"/>
          </w:tcPr>
          <w:p w14:paraId="6C6ED365"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6</w:t>
            </w:r>
          </w:p>
        </w:tc>
        <w:tc>
          <w:tcPr>
            <w:tcW w:w="723" w:type="dxa"/>
          </w:tcPr>
          <w:p w14:paraId="72B0B8BB"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c>
          <w:tcPr>
            <w:tcW w:w="722" w:type="dxa"/>
          </w:tcPr>
          <w:p w14:paraId="00ABE57C"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2</w:t>
            </w:r>
          </w:p>
        </w:tc>
        <w:tc>
          <w:tcPr>
            <w:tcW w:w="723" w:type="dxa"/>
          </w:tcPr>
          <w:p w14:paraId="5D8F69C9"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3</w:t>
            </w:r>
          </w:p>
        </w:tc>
        <w:tc>
          <w:tcPr>
            <w:tcW w:w="722" w:type="dxa"/>
          </w:tcPr>
          <w:p w14:paraId="61DA3682"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c>
          <w:tcPr>
            <w:tcW w:w="723" w:type="dxa"/>
          </w:tcPr>
          <w:p w14:paraId="0B6A1383"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1</w:t>
            </w:r>
          </w:p>
        </w:tc>
        <w:tc>
          <w:tcPr>
            <w:tcW w:w="722" w:type="dxa"/>
          </w:tcPr>
          <w:p w14:paraId="7F7B4CD9"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1</w:t>
            </w:r>
          </w:p>
        </w:tc>
        <w:tc>
          <w:tcPr>
            <w:tcW w:w="723" w:type="dxa"/>
          </w:tcPr>
          <w:p w14:paraId="38400CE1" w14:textId="77777777" w:rsidR="00C37211" w:rsidRPr="0053265D"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0</w:t>
            </w:r>
          </w:p>
        </w:tc>
      </w:tr>
      <w:tr w:rsidR="00C37211" w:rsidRPr="0053265D" w14:paraId="54CC53AF"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B4BDD5A" w14:textId="1D71E9F5" w:rsidR="00C37211" w:rsidRPr="0053265D"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2021.</w:t>
            </w:r>
          </w:p>
        </w:tc>
        <w:tc>
          <w:tcPr>
            <w:tcW w:w="685" w:type="dxa"/>
          </w:tcPr>
          <w:p w14:paraId="3877A23C"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6</w:t>
            </w:r>
          </w:p>
        </w:tc>
        <w:tc>
          <w:tcPr>
            <w:tcW w:w="722" w:type="dxa"/>
          </w:tcPr>
          <w:p w14:paraId="609797C9"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6</w:t>
            </w:r>
          </w:p>
        </w:tc>
        <w:tc>
          <w:tcPr>
            <w:tcW w:w="723" w:type="dxa"/>
          </w:tcPr>
          <w:p w14:paraId="32A6D881"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1</w:t>
            </w:r>
          </w:p>
        </w:tc>
        <w:tc>
          <w:tcPr>
            <w:tcW w:w="722" w:type="dxa"/>
          </w:tcPr>
          <w:p w14:paraId="45CCA893"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2</w:t>
            </w:r>
          </w:p>
        </w:tc>
        <w:tc>
          <w:tcPr>
            <w:tcW w:w="723" w:type="dxa"/>
          </w:tcPr>
          <w:p w14:paraId="576BF5D4"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6</w:t>
            </w:r>
          </w:p>
        </w:tc>
        <w:tc>
          <w:tcPr>
            <w:tcW w:w="722" w:type="dxa"/>
          </w:tcPr>
          <w:p w14:paraId="63C2AB77"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0</w:t>
            </w:r>
          </w:p>
        </w:tc>
        <w:tc>
          <w:tcPr>
            <w:tcW w:w="723" w:type="dxa"/>
          </w:tcPr>
          <w:p w14:paraId="3E38F22F"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0</w:t>
            </w:r>
          </w:p>
        </w:tc>
        <w:tc>
          <w:tcPr>
            <w:tcW w:w="722" w:type="dxa"/>
          </w:tcPr>
          <w:p w14:paraId="29AFDBE1"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1</w:t>
            </w:r>
          </w:p>
        </w:tc>
        <w:tc>
          <w:tcPr>
            <w:tcW w:w="723" w:type="dxa"/>
          </w:tcPr>
          <w:p w14:paraId="5A93024E" w14:textId="77777777" w:rsidR="00C37211" w:rsidRPr="0053265D"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sz w:val="22"/>
                <w:szCs w:val="22"/>
                <w:lang w:val="sr-Latn-BA"/>
              </w:rPr>
              <w:t>0</w:t>
            </w:r>
          </w:p>
        </w:tc>
      </w:tr>
      <w:tr w:rsidR="000A0529" w:rsidRPr="0053265D" w14:paraId="367ACA17" w14:textId="77777777" w:rsidTr="00FC63D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1DE5BA34" w14:textId="5008AAC9" w:rsidR="000A0529" w:rsidRPr="0053265D" w:rsidRDefault="000A0529" w:rsidP="000A0529">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2022.</w:t>
            </w:r>
          </w:p>
        </w:tc>
        <w:tc>
          <w:tcPr>
            <w:tcW w:w="685" w:type="dxa"/>
            <w:vAlign w:val="center"/>
          </w:tcPr>
          <w:p w14:paraId="1125286C" w14:textId="3E39713B"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lang w:val="sr-Latn-BA"/>
              </w:rPr>
              <w:t>5</w:t>
            </w:r>
          </w:p>
        </w:tc>
        <w:tc>
          <w:tcPr>
            <w:tcW w:w="722" w:type="dxa"/>
            <w:vAlign w:val="center"/>
          </w:tcPr>
          <w:p w14:paraId="598C6E4E" w14:textId="3CB9C218"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lang w:val="sr-Latn-BA"/>
              </w:rPr>
              <w:t>6</w:t>
            </w:r>
          </w:p>
        </w:tc>
        <w:tc>
          <w:tcPr>
            <w:tcW w:w="723" w:type="dxa"/>
            <w:vAlign w:val="center"/>
          </w:tcPr>
          <w:p w14:paraId="7B709394" w14:textId="3D57EE82"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lang w:val="sr-Latn-BA"/>
              </w:rPr>
              <w:t>3</w:t>
            </w:r>
          </w:p>
        </w:tc>
        <w:tc>
          <w:tcPr>
            <w:tcW w:w="722" w:type="dxa"/>
            <w:vAlign w:val="center"/>
          </w:tcPr>
          <w:p w14:paraId="28DA8E87" w14:textId="7165B842"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lang w:val="sr-Latn-BA"/>
              </w:rPr>
              <w:t>1</w:t>
            </w:r>
          </w:p>
        </w:tc>
        <w:tc>
          <w:tcPr>
            <w:tcW w:w="723" w:type="dxa"/>
            <w:vAlign w:val="center"/>
          </w:tcPr>
          <w:p w14:paraId="639A8AF6" w14:textId="665A9D4E"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lang w:val="sr-Latn-BA"/>
              </w:rPr>
              <w:t>4</w:t>
            </w:r>
          </w:p>
        </w:tc>
        <w:tc>
          <w:tcPr>
            <w:tcW w:w="722" w:type="dxa"/>
            <w:vAlign w:val="center"/>
          </w:tcPr>
          <w:p w14:paraId="3AD1E8DE" w14:textId="3D51B7BE"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lang w:val="sr-Latn-BA"/>
              </w:rPr>
              <w:t>0</w:t>
            </w:r>
          </w:p>
        </w:tc>
        <w:tc>
          <w:tcPr>
            <w:tcW w:w="723" w:type="dxa"/>
            <w:vAlign w:val="center"/>
          </w:tcPr>
          <w:p w14:paraId="21DF5CE6" w14:textId="0302B7EA"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lang w:val="sr-Latn-BA"/>
              </w:rPr>
              <w:t>0</w:t>
            </w:r>
          </w:p>
        </w:tc>
        <w:tc>
          <w:tcPr>
            <w:tcW w:w="722" w:type="dxa"/>
            <w:vAlign w:val="center"/>
          </w:tcPr>
          <w:p w14:paraId="10FBABA4" w14:textId="1A562EDA"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lang w:val="sr-Latn-BA"/>
              </w:rPr>
              <w:t>1</w:t>
            </w:r>
          </w:p>
        </w:tc>
        <w:tc>
          <w:tcPr>
            <w:tcW w:w="723" w:type="dxa"/>
            <w:vAlign w:val="center"/>
          </w:tcPr>
          <w:p w14:paraId="21F45C04" w14:textId="7750266E" w:rsidR="000A0529" w:rsidRPr="0053265D"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53265D">
              <w:rPr>
                <w:rFonts w:ascii="Times New Roman" w:hAnsi="Times New Roman" w:cs="Times New Roman"/>
                <w:lang w:val="sr-Latn-BA"/>
              </w:rPr>
              <w:t>0</w:t>
            </w:r>
          </w:p>
        </w:tc>
      </w:tr>
      <w:tr w:rsidR="00652230" w:rsidRPr="0053265D" w14:paraId="5FC1EEC9" w14:textId="77777777" w:rsidTr="00DC6655">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7593D65" w14:textId="58E61C36" w:rsidR="00652230" w:rsidRPr="0053265D" w:rsidRDefault="00652230" w:rsidP="00652230">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2023.</w:t>
            </w:r>
          </w:p>
        </w:tc>
        <w:tc>
          <w:tcPr>
            <w:tcW w:w="685" w:type="dxa"/>
          </w:tcPr>
          <w:p w14:paraId="05950670" w14:textId="19922301"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3</w:t>
            </w:r>
          </w:p>
        </w:tc>
        <w:tc>
          <w:tcPr>
            <w:tcW w:w="722" w:type="dxa"/>
          </w:tcPr>
          <w:p w14:paraId="4124B9C0" w14:textId="16559809"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6</w:t>
            </w:r>
          </w:p>
        </w:tc>
        <w:tc>
          <w:tcPr>
            <w:tcW w:w="723" w:type="dxa"/>
          </w:tcPr>
          <w:p w14:paraId="38F6C408" w14:textId="6CB64D5C"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2</w:t>
            </w:r>
          </w:p>
        </w:tc>
        <w:tc>
          <w:tcPr>
            <w:tcW w:w="722" w:type="dxa"/>
          </w:tcPr>
          <w:p w14:paraId="6DCB331B" w14:textId="28C2B630"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5</w:t>
            </w:r>
          </w:p>
        </w:tc>
        <w:tc>
          <w:tcPr>
            <w:tcW w:w="723" w:type="dxa"/>
          </w:tcPr>
          <w:p w14:paraId="27748899" w14:textId="50D41B57"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5</w:t>
            </w:r>
          </w:p>
        </w:tc>
        <w:tc>
          <w:tcPr>
            <w:tcW w:w="722" w:type="dxa"/>
          </w:tcPr>
          <w:p w14:paraId="3CA91DBD" w14:textId="7429B284"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4</w:t>
            </w:r>
          </w:p>
        </w:tc>
        <w:tc>
          <w:tcPr>
            <w:tcW w:w="723" w:type="dxa"/>
          </w:tcPr>
          <w:p w14:paraId="3EE6B26D" w14:textId="7EB270F4"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0</w:t>
            </w:r>
          </w:p>
        </w:tc>
        <w:tc>
          <w:tcPr>
            <w:tcW w:w="722" w:type="dxa"/>
          </w:tcPr>
          <w:p w14:paraId="3357E67A" w14:textId="1EA43C59"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1</w:t>
            </w:r>
          </w:p>
        </w:tc>
        <w:tc>
          <w:tcPr>
            <w:tcW w:w="723" w:type="dxa"/>
          </w:tcPr>
          <w:p w14:paraId="4E3198DB" w14:textId="1DABF7FA" w:rsidR="00652230" w:rsidRPr="0053265D"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53265D">
              <w:rPr>
                <w:rFonts w:ascii="Times New Roman" w:hAnsi="Times New Roman" w:cs="Times New Roman"/>
              </w:rPr>
              <w:t>0</w:t>
            </w:r>
          </w:p>
        </w:tc>
      </w:tr>
    </w:tbl>
    <w:p w14:paraId="3DB34940" w14:textId="1CCC0DC5" w:rsidR="00C37211" w:rsidRDefault="00C37211" w:rsidP="00C37211">
      <w:pPr>
        <w:pStyle w:val="ListParagraph"/>
        <w:tabs>
          <w:tab w:val="left" w:pos="1276"/>
        </w:tabs>
        <w:spacing w:after="0" w:line="240" w:lineRule="auto"/>
        <w:ind w:left="1276" w:hanging="1276"/>
        <w:contextualSpacing w:val="0"/>
        <w:rPr>
          <w:lang w:val="sr-Cyrl-BA"/>
        </w:rPr>
      </w:pPr>
      <w:r w:rsidRPr="00EC6422">
        <w:rPr>
          <w:b/>
          <w:lang w:val="sr-Cyrl-BA"/>
        </w:rPr>
        <w:t xml:space="preserve">Табела </w:t>
      </w:r>
      <w:r w:rsidRPr="00EC6422">
        <w:rPr>
          <w:b/>
          <w:lang w:val="sr-Cyrl-BA"/>
        </w:rPr>
        <w:fldChar w:fldCharType="begin"/>
      </w:r>
      <w:r w:rsidRPr="00EC6422">
        <w:rPr>
          <w:b/>
          <w:lang w:val="sr-Cyrl-BA"/>
        </w:rPr>
        <w:instrText xml:space="preserve"> SEQ Табела \* ARABIC </w:instrText>
      </w:r>
      <w:r w:rsidRPr="00EC6422">
        <w:rPr>
          <w:b/>
          <w:lang w:val="sr-Cyrl-BA"/>
        </w:rPr>
        <w:fldChar w:fldCharType="separate"/>
      </w:r>
      <w:r w:rsidR="00C64B5B">
        <w:rPr>
          <w:b/>
          <w:noProof/>
          <w:lang w:val="sr-Cyrl-BA"/>
        </w:rPr>
        <w:t>13</w:t>
      </w:r>
      <w:r w:rsidRPr="00EC6422">
        <w:rPr>
          <w:b/>
          <w:lang w:val="sr-Cyrl-BA"/>
        </w:rPr>
        <w:fldChar w:fldCharType="end"/>
      </w:r>
      <w:r w:rsidRPr="00EC6422">
        <w:rPr>
          <w:b/>
          <w:lang w:val="sr-Cyrl-BA"/>
        </w:rPr>
        <w:t>.</w:t>
      </w:r>
      <w:r w:rsidRPr="00EC6422">
        <w:rPr>
          <w:b/>
          <w:lang w:val="sr-Cyrl-BA"/>
        </w:rPr>
        <w:tab/>
      </w:r>
      <w:r w:rsidRPr="00FE00C5">
        <w:rPr>
          <w:lang w:val="sr-Cyrl-BA"/>
        </w:rPr>
        <w:t>Активности Комисије у вези са издавањем, продужавањем и одузимањем</w:t>
      </w:r>
      <w:r w:rsidRPr="00FE00C5">
        <w:rPr>
          <w:b/>
          <w:lang w:val="sr-Cyrl-BA"/>
        </w:rPr>
        <w:t xml:space="preserve"> </w:t>
      </w:r>
      <w:r w:rsidRPr="00FE00C5">
        <w:rPr>
          <w:lang w:val="sr-Cyrl-BA"/>
        </w:rPr>
        <w:t>дозвола за обављање послова са хартијама од вриједности</w:t>
      </w:r>
      <w:r>
        <w:rPr>
          <w:lang w:val="sr-Cyrl-BA"/>
        </w:rPr>
        <w:t xml:space="preserve"> у периоду од 201</w:t>
      </w:r>
      <w:r w:rsidR="000A0529">
        <w:rPr>
          <w:lang w:val="sr-Cyrl-BA"/>
        </w:rPr>
        <w:t>7</w:t>
      </w:r>
      <w:r>
        <w:rPr>
          <w:lang w:val="sr-Cyrl-BA"/>
        </w:rPr>
        <w:t xml:space="preserve">. до </w:t>
      </w:r>
      <w:r w:rsidR="00652230">
        <w:rPr>
          <w:lang w:val="sr-Cyrl-BA"/>
        </w:rPr>
        <w:t>2023</w:t>
      </w:r>
      <w:r>
        <w:rPr>
          <w:lang w:val="sr-Cyrl-BA"/>
        </w:rPr>
        <w:t>. године</w:t>
      </w:r>
    </w:p>
    <w:p w14:paraId="4726DF4A" w14:textId="3950FB4A" w:rsidR="00C82038" w:rsidRDefault="00C82038" w:rsidP="00C37211">
      <w:pPr>
        <w:pStyle w:val="ListParagraph"/>
        <w:tabs>
          <w:tab w:val="left" w:pos="1276"/>
        </w:tabs>
        <w:spacing w:after="0" w:line="240" w:lineRule="auto"/>
        <w:ind w:left="1276" w:hanging="1276"/>
        <w:contextualSpacing w:val="0"/>
        <w:rPr>
          <w:lang w:val="en-GB"/>
        </w:rPr>
      </w:pPr>
    </w:p>
    <w:p w14:paraId="72C524D0" w14:textId="46956FBE" w:rsidR="00C82038" w:rsidRDefault="00C82038" w:rsidP="00C37211">
      <w:pPr>
        <w:pStyle w:val="ListParagraph"/>
        <w:tabs>
          <w:tab w:val="left" w:pos="1276"/>
        </w:tabs>
        <w:spacing w:after="0" w:line="240" w:lineRule="auto"/>
        <w:ind w:left="1276" w:hanging="1276"/>
        <w:contextualSpacing w:val="0"/>
        <w:rPr>
          <w:lang w:val="en-GB"/>
        </w:rPr>
      </w:pPr>
    </w:p>
    <w:p w14:paraId="6DECAC9B" w14:textId="77777777" w:rsidR="00C82038" w:rsidRPr="00FE00C5" w:rsidRDefault="00C82038" w:rsidP="00C37211">
      <w:pPr>
        <w:pStyle w:val="ListParagraph"/>
        <w:tabs>
          <w:tab w:val="left" w:pos="1276"/>
        </w:tabs>
        <w:spacing w:after="0" w:line="240" w:lineRule="auto"/>
        <w:ind w:left="1276" w:hanging="1276"/>
        <w:contextualSpacing w:val="0"/>
        <w:rPr>
          <w:lang w:val="en-GB"/>
        </w:rPr>
      </w:pPr>
    </w:p>
    <w:p w14:paraId="5178ADED" w14:textId="77777777" w:rsidR="000255CC" w:rsidRPr="00EC6422" w:rsidRDefault="000255CC" w:rsidP="006B6E0C">
      <w:pPr>
        <w:pStyle w:val="Heading2"/>
        <w:spacing w:before="240" w:after="0" w:line="240" w:lineRule="auto"/>
        <w:ind w:left="578" w:hanging="578"/>
        <w:rPr>
          <w:rFonts w:ascii="Times New Roman" w:hAnsi="Times New Roman"/>
          <w:sz w:val="24"/>
          <w:lang w:val="sr-Cyrl-BA"/>
        </w:rPr>
      </w:pPr>
      <w:bookmarkStart w:id="65" w:name="_Toc167960431"/>
      <w:r w:rsidRPr="00EC6422">
        <w:rPr>
          <w:rFonts w:ascii="Times New Roman" w:hAnsi="Times New Roman"/>
          <w:sz w:val="24"/>
          <w:lang w:val="sr-Cyrl-BA"/>
        </w:rPr>
        <w:lastRenderedPageBreak/>
        <w:t xml:space="preserve">Издавање дозвола и сагласности учесницима на тржишту </w:t>
      </w:r>
      <w:r w:rsidR="00E735DE" w:rsidRPr="00EC6422">
        <w:rPr>
          <w:rFonts w:ascii="Times New Roman" w:hAnsi="Times New Roman"/>
          <w:sz w:val="24"/>
          <w:lang w:val="sr-Cyrl-BA"/>
        </w:rPr>
        <w:t xml:space="preserve">у складу са </w:t>
      </w:r>
      <w:r w:rsidR="00A30C90" w:rsidRPr="00EC6422">
        <w:rPr>
          <w:rFonts w:ascii="Times New Roman" w:hAnsi="Times New Roman"/>
          <w:sz w:val="24"/>
          <w:lang w:val="sr-Cyrl-BA"/>
        </w:rPr>
        <w:t>З</w:t>
      </w:r>
      <w:r w:rsidRPr="00EC6422">
        <w:rPr>
          <w:rFonts w:ascii="Times New Roman" w:hAnsi="Times New Roman"/>
          <w:sz w:val="24"/>
          <w:lang w:val="sr-Cyrl-BA"/>
        </w:rPr>
        <w:t>акон</w:t>
      </w:r>
      <w:r w:rsidR="00E735DE" w:rsidRPr="00EC6422">
        <w:rPr>
          <w:rFonts w:ascii="Times New Roman" w:hAnsi="Times New Roman"/>
          <w:sz w:val="24"/>
          <w:lang w:val="sr-Cyrl-BA"/>
        </w:rPr>
        <w:t>ом</w:t>
      </w:r>
      <w:r w:rsidRPr="00EC6422">
        <w:rPr>
          <w:rFonts w:ascii="Times New Roman" w:hAnsi="Times New Roman"/>
          <w:sz w:val="24"/>
          <w:lang w:val="sr-Cyrl-BA"/>
        </w:rPr>
        <w:t xml:space="preserve"> о инвестиционим фондовима</w:t>
      </w:r>
      <w:bookmarkEnd w:id="65"/>
    </w:p>
    <w:p w14:paraId="1DB54CBE" w14:textId="4C3E1C44" w:rsidR="00BC6DCF" w:rsidRPr="00EC6422" w:rsidRDefault="00BC6DCF" w:rsidP="006B6E0C">
      <w:pPr>
        <w:spacing w:after="0" w:line="240" w:lineRule="auto"/>
        <w:ind w:firstLine="567"/>
        <w:rPr>
          <w:lang w:val="sr-Cyrl-BA"/>
        </w:rPr>
      </w:pPr>
      <w:r w:rsidRPr="00EC6422">
        <w:rPr>
          <w:lang w:val="sr-Cyrl-BA"/>
        </w:rPr>
        <w:t xml:space="preserve">У складу са надлежностима и обавезама </w:t>
      </w:r>
      <w:r w:rsidR="00EF1648" w:rsidRPr="00DF4E06">
        <w:rPr>
          <w:lang w:val="sr-Cyrl-BA"/>
        </w:rPr>
        <w:t>из Закон</w:t>
      </w:r>
      <w:r w:rsidR="00EF1648" w:rsidRPr="00DF4E06">
        <w:rPr>
          <w:lang w:val="en-GB"/>
        </w:rPr>
        <w:t>a</w:t>
      </w:r>
      <w:r w:rsidR="00EF1648" w:rsidRPr="00DF4E06">
        <w:rPr>
          <w:lang w:val="sr-Cyrl-BA"/>
        </w:rPr>
        <w:t xml:space="preserve"> о инвестиционим фондовима, Комисија је донијела сљедећа подзаконска акта</w:t>
      </w:r>
      <w:r w:rsidRPr="00EC6422">
        <w:rPr>
          <w:lang w:val="sr-Cyrl-BA"/>
        </w:rPr>
        <w:t>:</w:t>
      </w:r>
    </w:p>
    <w:p w14:paraId="6E61451B"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садржају, роковима и облику извјештаја инвестиционих фондова, друштва за управљање инвестиционим фондовима и банке </w:t>
      </w:r>
      <w:proofErr w:type="spellStart"/>
      <w:r w:rsidRPr="008A4294">
        <w:rPr>
          <w:lang w:val="sr-Cyrl-BA"/>
        </w:rPr>
        <w:t>депозитара</w:t>
      </w:r>
      <w:proofErr w:type="spellEnd"/>
      <w:r w:rsidRPr="008A4294">
        <w:rPr>
          <w:lang w:val="sr-Cyrl-BA"/>
        </w:rPr>
        <w:t>,</w:t>
      </w:r>
    </w:p>
    <w:p w14:paraId="24A50303"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условима, начину стицања и признавању овлашћења за продају акција или </w:t>
      </w:r>
      <w:proofErr w:type="spellStart"/>
      <w:r w:rsidRPr="008A4294">
        <w:rPr>
          <w:lang w:val="sr-Cyrl-BA"/>
        </w:rPr>
        <w:t>удјела</w:t>
      </w:r>
      <w:proofErr w:type="spellEnd"/>
      <w:r w:rsidRPr="008A4294">
        <w:rPr>
          <w:lang w:val="sr-Cyrl-BA"/>
        </w:rPr>
        <w:t xml:space="preserve"> у инвестиционим фондовима с јавном понудом, </w:t>
      </w:r>
    </w:p>
    <w:p w14:paraId="69715AA3"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промоцији инвестиционих фондова са јавном понудом,</w:t>
      </w:r>
    </w:p>
    <w:p w14:paraId="3CAF032B"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пословању друштва за управљање инвестиционим фондовима, </w:t>
      </w:r>
    </w:p>
    <w:p w14:paraId="21196E4D"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садржају уговора између затвореног инвестиционог фонда с јавном понудом и друштва за управљање, </w:t>
      </w:r>
    </w:p>
    <w:p w14:paraId="67A9461A"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садржају и начину вођења регистра фондова,</w:t>
      </w:r>
    </w:p>
    <w:p w14:paraId="63F3543F"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успостављању, вођењу и објављивању података из регистра </w:t>
      </w:r>
      <w:proofErr w:type="spellStart"/>
      <w:r w:rsidRPr="008A4294">
        <w:rPr>
          <w:lang w:val="sr-Cyrl-BA"/>
        </w:rPr>
        <w:t>удјела</w:t>
      </w:r>
      <w:proofErr w:type="spellEnd"/>
      <w:r w:rsidRPr="008A4294">
        <w:rPr>
          <w:lang w:val="sr-Cyrl-BA"/>
        </w:rPr>
        <w:t xml:space="preserve"> у отвореном инвестиционом фонду, </w:t>
      </w:r>
    </w:p>
    <w:p w14:paraId="08F3D7F2"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улагањима и ограничењима улагања отворених инвестиционих фондова ризичног капитала с приватном понудом, </w:t>
      </w:r>
    </w:p>
    <w:p w14:paraId="0DB01757"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улагању отворених инвестиционих фондова с приватном понудом,</w:t>
      </w:r>
    </w:p>
    <w:p w14:paraId="377C0F77"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утврђивању вриједности имовине инвестиционог фонда и обрачуну нето вриједности имовине по </w:t>
      </w:r>
      <w:proofErr w:type="spellStart"/>
      <w:r w:rsidRPr="008A4294">
        <w:rPr>
          <w:lang w:val="sr-Cyrl-BA"/>
        </w:rPr>
        <w:t>удјелу</w:t>
      </w:r>
      <w:proofErr w:type="spellEnd"/>
      <w:r w:rsidRPr="008A4294">
        <w:rPr>
          <w:lang w:val="sr-Cyrl-BA"/>
        </w:rPr>
        <w:t xml:space="preserve"> или по акцији инвестиционог фонда,</w:t>
      </w:r>
    </w:p>
    <w:p w14:paraId="2D6A1E2D"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условима и поступку за издавање дозволе за вршење функције члана надзорног одбора затвореног инвестиционог фонда,</w:t>
      </w:r>
    </w:p>
    <w:p w14:paraId="5B1464EF"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условима и поступку издавања дозволе за обављање функције члана управног одбора друштва за управљање инвестиционим фондовима, </w:t>
      </w:r>
    </w:p>
    <w:p w14:paraId="387114B1"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издавању дозволе за стицање квалификованог учешћа у друштву за управљање инвестиционим фондовима, </w:t>
      </w:r>
    </w:p>
    <w:p w14:paraId="6533AB68"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поступку и врсти послова које друштво за управљање може пренијети на треће лице и начину </w:t>
      </w:r>
      <w:proofErr w:type="spellStart"/>
      <w:r w:rsidRPr="008A4294">
        <w:rPr>
          <w:lang w:val="sr-Cyrl-BA"/>
        </w:rPr>
        <w:t>преноса</w:t>
      </w:r>
      <w:proofErr w:type="spellEnd"/>
      <w:r w:rsidRPr="008A4294">
        <w:rPr>
          <w:lang w:val="sr-Cyrl-BA"/>
        </w:rPr>
        <w:t xml:space="preserve"> послова управљања инвестиционим фондом на друго друштво за управљање,</w:t>
      </w:r>
    </w:p>
    <w:p w14:paraId="5F192088"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преобликовању затвореног инвестиционог фонда, </w:t>
      </w:r>
    </w:p>
    <w:p w14:paraId="6201F3F8"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адекватности капитала друштва за управљање инвестиционим фондовима,</w:t>
      </w:r>
    </w:p>
    <w:p w14:paraId="7FF966E1"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о реорганизацији затвореног инвестиционог фонда,</w:t>
      </w:r>
    </w:p>
    <w:p w14:paraId="1DECB443"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Правилник којим се уређује поступак, трошкови и рокови ликвидације инвестиционих фондова,</w:t>
      </w:r>
    </w:p>
    <w:p w14:paraId="1CCC1ED2"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w:t>
      </w:r>
      <w:proofErr w:type="spellStart"/>
      <w:r w:rsidRPr="008A4294">
        <w:rPr>
          <w:lang w:val="sr-Cyrl-BA"/>
        </w:rPr>
        <w:t>удјелима</w:t>
      </w:r>
      <w:proofErr w:type="spellEnd"/>
      <w:r w:rsidRPr="008A4294">
        <w:rPr>
          <w:lang w:val="sr-Cyrl-BA"/>
        </w:rPr>
        <w:t xml:space="preserve"> отвореног инвестиционог фонда,</w:t>
      </w:r>
    </w:p>
    <w:p w14:paraId="5DC725C5" w14:textId="77777777" w:rsidR="008A4294" w:rsidRPr="008A4294" w:rsidRDefault="008A4294" w:rsidP="008A4294">
      <w:pPr>
        <w:pStyle w:val="ListParagraph"/>
        <w:numPr>
          <w:ilvl w:val="0"/>
          <w:numId w:val="5"/>
        </w:numPr>
        <w:spacing w:before="0" w:after="0" w:line="240" w:lineRule="auto"/>
        <w:rPr>
          <w:lang w:val="sr-Cyrl-BA"/>
        </w:rPr>
      </w:pPr>
      <w:r w:rsidRPr="008A4294">
        <w:rPr>
          <w:lang w:val="sr-Cyrl-BA"/>
        </w:rPr>
        <w:t xml:space="preserve">Правилник о трговању </w:t>
      </w:r>
      <w:proofErr w:type="spellStart"/>
      <w:r w:rsidRPr="008A4294">
        <w:rPr>
          <w:lang w:val="sr-Cyrl-BA"/>
        </w:rPr>
        <w:t>удјелима</w:t>
      </w:r>
      <w:proofErr w:type="spellEnd"/>
      <w:r w:rsidRPr="008A4294">
        <w:rPr>
          <w:lang w:val="sr-Cyrl-BA"/>
        </w:rPr>
        <w:t xml:space="preserve"> отвореног инвестиционог фонда и</w:t>
      </w:r>
    </w:p>
    <w:p w14:paraId="002BAFC6" w14:textId="16A2389F" w:rsidR="00BC6DCF" w:rsidRDefault="008A4294" w:rsidP="008A4294">
      <w:pPr>
        <w:pStyle w:val="ListParagraph"/>
        <w:numPr>
          <w:ilvl w:val="0"/>
          <w:numId w:val="5"/>
        </w:numPr>
        <w:spacing w:before="0" w:after="0" w:line="240" w:lineRule="auto"/>
        <w:contextualSpacing w:val="0"/>
        <w:rPr>
          <w:lang w:val="sr-Cyrl-BA"/>
        </w:rPr>
      </w:pPr>
      <w:r w:rsidRPr="008A4294">
        <w:rPr>
          <w:lang w:val="sr-Cyrl-BA"/>
        </w:rPr>
        <w:t>Правилник о обавезном садржају захтјева за издавање дозволе за оснивање, садржају проспекта и захтјева за измјену проспекта отворених инвестиционих фондова са јавном понудом</w:t>
      </w:r>
      <w:r w:rsidR="00BC6DCF" w:rsidRPr="00EC6422">
        <w:rPr>
          <w:lang w:val="sr-Cyrl-BA"/>
        </w:rPr>
        <w:t>.</w:t>
      </w:r>
    </w:p>
    <w:p w14:paraId="34267851" w14:textId="77777777" w:rsidR="00906364" w:rsidRPr="00906364" w:rsidRDefault="00906364" w:rsidP="00906364">
      <w:pPr>
        <w:pStyle w:val="ListParagraph"/>
        <w:numPr>
          <w:ilvl w:val="0"/>
          <w:numId w:val="5"/>
        </w:numPr>
        <w:spacing w:before="0" w:after="0" w:line="240" w:lineRule="auto"/>
        <w:contextualSpacing w:val="0"/>
        <w:rPr>
          <w:lang w:val="sr-Cyrl-BA"/>
        </w:rPr>
      </w:pPr>
      <w:r w:rsidRPr="00906364">
        <w:rPr>
          <w:lang w:val="sr-Cyrl-BA"/>
        </w:rPr>
        <w:t>Правилник о издавању дозволе за обављање основне и додатних дјелатности и статусне промјене друштва за управљање инвестиционим фондовима и друштва за управљање алтернативним инвестиционим фондовима,</w:t>
      </w:r>
    </w:p>
    <w:p w14:paraId="42E28455" w14:textId="77777777" w:rsidR="00906364" w:rsidRPr="00A36605" w:rsidRDefault="00906364" w:rsidP="00906364">
      <w:pPr>
        <w:pStyle w:val="ListParagraph"/>
        <w:numPr>
          <w:ilvl w:val="0"/>
          <w:numId w:val="5"/>
        </w:numPr>
        <w:spacing w:before="0" w:after="0" w:line="240" w:lineRule="auto"/>
        <w:contextualSpacing w:val="0"/>
        <w:rPr>
          <w:lang w:val="sr-Cyrl-BA"/>
        </w:rPr>
      </w:pPr>
      <w:r w:rsidRPr="00906364">
        <w:rPr>
          <w:lang w:val="sr-Cyrl-BA"/>
        </w:rPr>
        <w:t>Правилник о садржају захтјева и условима за издавање дозволе за оснивање и</w:t>
      </w:r>
      <w:r w:rsidRPr="00906364">
        <w:rPr>
          <w:color w:val="FF0000"/>
          <w:lang w:val="sr-Cyrl-BA"/>
        </w:rPr>
        <w:t xml:space="preserve"> </w:t>
      </w:r>
      <w:r w:rsidRPr="00A36605">
        <w:rPr>
          <w:lang w:val="sr-Cyrl-BA"/>
        </w:rPr>
        <w:t>управљање отвореним алтернативним инвестиционим фондом и пријави уписа у регистар фондова,</w:t>
      </w:r>
    </w:p>
    <w:p w14:paraId="06FB809B" w14:textId="77777777" w:rsidR="00906364" w:rsidRPr="00A36605" w:rsidRDefault="00906364" w:rsidP="00906364">
      <w:pPr>
        <w:pStyle w:val="ListParagraph"/>
        <w:numPr>
          <w:ilvl w:val="0"/>
          <w:numId w:val="5"/>
        </w:numPr>
        <w:spacing w:before="0" w:after="0" w:line="240" w:lineRule="auto"/>
        <w:contextualSpacing w:val="0"/>
        <w:rPr>
          <w:lang w:val="sr-Cyrl-BA"/>
        </w:rPr>
      </w:pPr>
      <w:r w:rsidRPr="00A36605">
        <w:rPr>
          <w:lang w:val="sr-Cyrl-BA"/>
        </w:rPr>
        <w:t>Правилник о адекватности капитала друштва за управљање алтернативним инвестиционим фондовима,</w:t>
      </w:r>
    </w:p>
    <w:p w14:paraId="798177F9" w14:textId="77777777" w:rsidR="00906364" w:rsidRPr="00A36605" w:rsidRDefault="00906364" w:rsidP="00906364">
      <w:pPr>
        <w:pStyle w:val="ListParagraph"/>
        <w:numPr>
          <w:ilvl w:val="0"/>
          <w:numId w:val="5"/>
        </w:numPr>
        <w:spacing w:before="0" w:after="0" w:line="240" w:lineRule="auto"/>
        <w:contextualSpacing w:val="0"/>
        <w:rPr>
          <w:lang w:val="sr-Cyrl-BA"/>
        </w:rPr>
      </w:pPr>
      <w:r w:rsidRPr="00A36605">
        <w:rPr>
          <w:lang w:val="sr-Cyrl-BA"/>
        </w:rPr>
        <w:lastRenderedPageBreak/>
        <w:t>Правилник о врстама алтернативних инвестиционих фондова са приватном понудом,</w:t>
      </w:r>
    </w:p>
    <w:p w14:paraId="76E4781A" w14:textId="77777777" w:rsidR="00906364" w:rsidRPr="00A36605" w:rsidRDefault="00906364" w:rsidP="00906364">
      <w:pPr>
        <w:pStyle w:val="ListParagraph"/>
        <w:numPr>
          <w:ilvl w:val="0"/>
          <w:numId w:val="5"/>
        </w:numPr>
        <w:spacing w:before="0" w:after="0" w:line="240" w:lineRule="auto"/>
        <w:contextualSpacing w:val="0"/>
        <w:rPr>
          <w:lang w:val="sr-Cyrl-BA"/>
        </w:rPr>
      </w:pPr>
      <w:r w:rsidRPr="00A36605">
        <w:rPr>
          <w:lang w:val="sr-Cyrl-BA"/>
        </w:rPr>
        <w:t>Правилник о утврђивању вриједности имовине и обрачуну нето вриједности имовине алтернативних инвестиционих фондова</w:t>
      </w:r>
      <w:r>
        <w:rPr>
          <w:lang w:val="sr-Cyrl-BA"/>
        </w:rPr>
        <w:t xml:space="preserve"> и</w:t>
      </w:r>
    </w:p>
    <w:p w14:paraId="6862DF89" w14:textId="65B1A947" w:rsidR="00906364" w:rsidRPr="00906364" w:rsidRDefault="00906364" w:rsidP="00906364">
      <w:pPr>
        <w:pStyle w:val="ListParagraph"/>
        <w:numPr>
          <w:ilvl w:val="0"/>
          <w:numId w:val="5"/>
        </w:numPr>
        <w:spacing w:before="0" w:after="0" w:line="240" w:lineRule="auto"/>
        <w:contextualSpacing w:val="0"/>
        <w:rPr>
          <w:lang w:val="sr-Cyrl-BA"/>
        </w:rPr>
      </w:pPr>
      <w:r w:rsidRPr="00A36605">
        <w:rPr>
          <w:lang w:val="sr-Cyrl-BA"/>
        </w:rPr>
        <w:t xml:space="preserve">Правилник о садржају, роковима и облику извјештаја алтернативних инвестиционих фондова, друштва за управљање алтернативним инвестиционим фондовима и банке </w:t>
      </w:r>
      <w:proofErr w:type="spellStart"/>
      <w:r w:rsidRPr="00A36605">
        <w:rPr>
          <w:lang w:val="sr-Cyrl-BA"/>
        </w:rPr>
        <w:t>депозитара</w:t>
      </w:r>
      <w:proofErr w:type="spellEnd"/>
      <w:r w:rsidRPr="00A36605">
        <w:rPr>
          <w:lang w:val="sr-Cyrl-BA"/>
        </w:rPr>
        <w:t xml:space="preserve"> алтернативних инвестиционих фондова.</w:t>
      </w:r>
    </w:p>
    <w:p w14:paraId="2702FC86" w14:textId="05CF36C5" w:rsidR="001D6262" w:rsidRPr="001D6262" w:rsidRDefault="001D6262" w:rsidP="006B6E0C">
      <w:pPr>
        <w:spacing w:after="0" w:line="240" w:lineRule="auto"/>
        <w:ind w:firstLine="567"/>
        <w:rPr>
          <w:lang w:val="sr-Cyrl-BA"/>
        </w:rPr>
      </w:pPr>
      <w:r w:rsidRPr="001D6262">
        <w:rPr>
          <w:lang w:val="sr-Cyrl-BA"/>
        </w:rPr>
        <w:t>У складу са Законом о инвестиционим фондовима Комисија за хартије од вриједности је надлежна за издавање:</w:t>
      </w:r>
    </w:p>
    <w:p w14:paraId="389E5FFF" w14:textId="77777777" w:rsidR="001D6262" w:rsidRPr="001D6262" w:rsidRDefault="001D6262" w:rsidP="006B6E0C">
      <w:pPr>
        <w:spacing w:before="0" w:after="0" w:line="240" w:lineRule="auto"/>
        <w:ind w:left="851" w:hanging="284"/>
        <w:rPr>
          <w:lang w:val="sr-Cyrl-BA"/>
        </w:rPr>
      </w:pPr>
      <w:r w:rsidRPr="001D6262">
        <w:rPr>
          <w:lang w:val="sr-Cyrl-BA"/>
        </w:rPr>
        <w:t>1)</w:t>
      </w:r>
      <w:r w:rsidRPr="001D6262">
        <w:rPr>
          <w:lang w:val="sr-Cyrl-BA"/>
        </w:rPr>
        <w:tab/>
        <w:t>Дозвола друштвима за управљање инвестиционим фондовима за оснивање и управљање инвестиционим фондовима;</w:t>
      </w:r>
    </w:p>
    <w:p w14:paraId="2ED58E28" w14:textId="77777777" w:rsidR="001D6262" w:rsidRPr="001D6262" w:rsidRDefault="001D6262" w:rsidP="006B6E0C">
      <w:pPr>
        <w:spacing w:before="0" w:after="0" w:line="240" w:lineRule="auto"/>
        <w:ind w:left="851" w:hanging="284"/>
        <w:rPr>
          <w:lang w:val="sr-Cyrl-BA"/>
        </w:rPr>
      </w:pPr>
      <w:r w:rsidRPr="001D6262">
        <w:rPr>
          <w:lang w:val="sr-Cyrl-BA"/>
        </w:rPr>
        <w:t>2)</w:t>
      </w:r>
      <w:r w:rsidRPr="001D6262">
        <w:rPr>
          <w:lang w:val="sr-Cyrl-BA"/>
        </w:rPr>
        <w:tab/>
        <w:t>Дозволу на именовање чланова управе друштва за управљање;</w:t>
      </w:r>
    </w:p>
    <w:p w14:paraId="51BB6A2C" w14:textId="77777777" w:rsidR="001D6262" w:rsidRPr="001D6262" w:rsidRDefault="001D6262" w:rsidP="006B6E0C">
      <w:pPr>
        <w:spacing w:before="0" w:after="0" w:line="240" w:lineRule="auto"/>
        <w:ind w:left="851" w:hanging="284"/>
        <w:rPr>
          <w:lang w:val="sr-Cyrl-BA"/>
        </w:rPr>
      </w:pPr>
      <w:r w:rsidRPr="001D6262">
        <w:rPr>
          <w:lang w:val="sr-Cyrl-BA"/>
        </w:rPr>
        <w:t>3)</w:t>
      </w:r>
      <w:r w:rsidRPr="001D6262">
        <w:rPr>
          <w:lang w:val="sr-Cyrl-BA"/>
        </w:rPr>
        <w:tab/>
        <w:t>Сагласност на статусне промјене друштва за управљање и инвестиционог фонда;</w:t>
      </w:r>
    </w:p>
    <w:p w14:paraId="1DE50B6E" w14:textId="77777777" w:rsidR="001D6262" w:rsidRPr="001D6262" w:rsidRDefault="001D6262" w:rsidP="006B6E0C">
      <w:pPr>
        <w:spacing w:before="0" w:after="0" w:line="240" w:lineRule="auto"/>
        <w:ind w:left="851" w:hanging="284"/>
        <w:rPr>
          <w:lang w:val="sr-Cyrl-BA"/>
        </w:rPr>
      </w:pPr>
      <w:r w:rsidRPr="001D6262">
        <w:rPr>
          <w:lang w:val="sr-Cyrl-BA"/>
        </w:rPr>
        <w:t>4)</w:t>
      </w:r>
      <w:r w:rsidRPr="001D6262">
        <w:rPr>
          <w:lang w:val="sr-Cyrl-BA"/>
        </w:rPr>
        <w:tab/>
        <w:t xml:space="preserve">Одобрења на </w:t>
      </w:r>
      <w:proofErr w:type="spellStart"/>
      <w:r w:rsidRPr="001D6262">
        <w:rPr>
          <w:lang w:val="sr-Cyrl-BA"/>
        </w:rPr>
        <w:t>пренос</w:t>
      </w:r>
      <w:proofErr w:type="spellEnd"/>
      <w:r w:rsidRPr="001D6262">
        <w:rPr>
          <w:lang w:val="sr-Cyrl-BA"/>
        </w:rPr>
        <w:t xml:space="preserve"> административних послова из члана 23. Закона о инвестиционим пословима на трећа лица;</w:t>
      </w:r>
    </w:p>
    <w:p w14:paraId="76F42E95" w14:textId="77777777" w:rsidR="001D6262" w:rsidRPr="001D6262" w:rsidRDefault="001D6262" w:rsidP="006B6E0C">
      <w:pPr>
        <w:spacing w:before="0" w:after="0" w:line="240" w:lineRule="auto"/>
        <w:ind w:left="851" w:hanging="284"/>
        <w:rPr>
          <w:lang w:val="sr-Cyrl-BA"/>
        </w:rPr>
      </w:pPr>
      <w:r w:rsidRPr="001D6262">
        <w:rPr>
          <w:lang w:val="sr-Cyrl-BA"/>
        </w:rPr>
        <w:t>5)</w:t>
      </w:r>
      <w:r w:rsidRPr="001D6262">
        <w:rPr>
          <w:lang w:val="sr-Cyrl-BA"/>
        </w:rPr>
        <w:tab/>
        <w:t>Сагласности инвестиционим фондовима на проспект и статут, као и на све накнадне измјене тих аката;</w:t>
      </w:r>
    </w:p>
    <w:p w14:paraId="10AC101B" w14:textId="77777777" w:rsidR="001D6262" w:rsidRPr="001D6262" w:rsidRDefault="001D6262" w:rsidP="006B6E0C">
      <w:pPr>
        <w:spacing w:before="0" w:after="0" w:line="240" w:lineRule="auto"/>
        <w:ind w:left="851" w:hanging="284"/>
        <w:rPr>
          <w:lang w:val="sr-Cyrl-BA"/>
        </w:rPr>
      </w:pPr>
      <w:r w:rsidRPr="001D6262">
        <w:rPr>
          <w:lang w:val="sr-Cyrl-BA"/>
        </w:rPr>
        <w:t>6) Сагласност на именовање чланова надзорног одбора инвестиционог фонда;</w:t>
      </w:r>
    </w:p>
    <w:p w14:paraId="33F28698" w14:textId="77777777" w:rsidR="001D6262" w:rsidRPr="001D6262" w:rsidRDefault="001D6262" w:rsidP="006B6E0C">
      <w:pPr>
        <w:spacing w:before="0" w:after="0" w:line="240" w:lineRule="auto"/>
        <w:ind w:left="851" w:hanging="284"/>
        <w:rPr>
          <w:lang w:val="sr-Cyrl-BA"/>
        </w:rPr>
      </w:pPr>
      <w:r w:rsidRPr="001D6262">
        <w:rPr>
          <w:lang w:val="sr-Cyrl-BA"/>
        </w:rPr>
        <w:t>7)</w:t>
      </w:r>
      <w:r w:rsidRPr="001D6262">
        <w:rPr>
          <w:lang w:val="sr-Cyrl-BA"/>
        </w:rPr>
        <w:tab/>
        <w:t xml:space="preserve">Дозвола друштвима за управљање инвестиционим фондовима за закључење уговора о обављању </w:t>
      </w:r>
      <w:proofErr w:type="spellStart"/>
      <w:r w:rsidRPr="001D6262">
        <w:rPr>
          <w:lang w:val="sr-Cyrl-BA"/>
        </w:rPr>
        <w:t>депозитарних</w:t>
      </w:r>
      <w:proofErr w:type="spellEnd"/>
      <w:r w:rsidRPr="001D6262">
        <w:rPr>
          <w:lang w:val="sr-Cyrl-BA"/>
        </w:rPr>
        <w:t xml:space="preserve"> послова и промјену банке </w:t>
      </w:r>
      <w:proofErr w:type="spellStart"/>
      <w:r w:rsidRPr="001D6262">
        <w:rPr>
          <w:lang w:val="sr-Cyrl-BA"/>
        </w:rPr>
        <w:t>депозитара</w:t>
      </w:r>
      <w:proofErr w:type="spellEnd"/>
      <w:r w:rsidRPr="001D6262">
        <w:rPr>
          <w:lang w:val="sr-Cyrl-BA"/>
        </w:rPr>
        <w:t>;</w:t>
      </w:r>
    </w:p>
    <w:p w14:paraId="7A224431" w14:textId="77777777" w:rsidR="001D6262" w:rsidRPr="001D6262" w:rsidRDefault="001D6262" w:rsidP="006B6E0C">
      <w:pPr>
        <w:spacing w:before="0" w:after="0" w:line="240" w:lineRule="auto"/>
        <w:ind w:left="851" w:hanging="284"/>
        <w:rPr>
          <w:lang w:val="sr-Cyrl-BA"/>
        </w:rPr>
      </w:pPr>
      <w:r w:rsidRPr="001D6262">
        <w:rPr>
          <w:lang w:val="sr-Cyrl-BA"/>
        </w:rPr>
        <w:t>8)</w:t>
      </w:r>
      <w:r w:rsidRPr="001D6262">
        <w:rPr>
          <w:lang w:val="sr-Cyrl-BA"/>
        </w:rPr>
        <w:tab/>
        <w:t>Одобрења промотивних информација о инвестиционим фондовима и друштвима која њима управљају.</w:t>
      </w:r>
    </w:p>
    <w:p w14:paraId="0F9EF6E0" w14:textId="77777777" w:rsidR="00A11D13" w:rsidRDefault="006C5AE6" w:rsidP="006B6E0C">
      <w:pPr>
        <w:pStyle w:val="ListParagraph"/>
        <w:numPr>
          <w:ilvl w:val="0"/>
          <w:numId w:val="7"/>
        </w:numPr>
        <w:tabs>
          <w:tab w:val="left" w:pos="851"/>
        </w:tabs>
        <w:spacing w:after="0" w:line="240" w:lineRule="auto"/>
        <w:ind w:left="0" w:firstLine="567"/>
        <w:contextualSpacing w:val="0"/>
        <w:rPr>
          <w:lang w:val="sr-Cyrl-BA"/>
        </w:rPr>
      </w:pPr>
      <w:r w:rsidRPr="00A11D13">
        <w:rPr>
          <w:b/>
          <w:lang w:val="sr-Cyrl-BA"/>
        </w:rPr>
        <w:t>Друштвима за управљање инвестиционим фондовима</w:t>
      </w:r>
      <w:r w:rsidRPr="00A11D13">
        <w:rPr>
          <w:lang w:val="sr-Cyrl-BA"/>
        </w:rPr>
        <w:t xml:space="preserve">, у складу са чланом 28. Закона о инвестиционим фондовима, Комисија издаје дозволу за обављање дјелатности у вези са управљањем инвестиционим фондовима. </w:t>
      </w:r>
    </w:p>
    <w:p w14:paraId="6071B894" w14:textId="435C89C5" w:rsidR="005E5641" w:rsidRDefault="00EF1648" w:rsidP="006B6E0C">
      <w:pPr>
        <w:spacing w:after="0" w:line="240" w:lineRule="auto"/>
        <w:ind w:firstLine="567"/>
        <w:rPr>
          <w:lang w:val="sr-Cyrl-BA"/>
        </w:rPr>
      </w:pPr>
      <w:r w:rsidRPr="00DF4E06">
        <w:rPr>
          <w:lang w:val="sr-Cyrl-BA"/>
        </w:rPr>
        <w:t xml:space="preserve">Дозвола за оснивање и управљање инвестиционим фондовима се односи на затворене инвестиционе фондове са јавном понудом (члан 60. Закона о инвестиционим фондовима), отворене инвестиционе фондове са јавном понудом (члан 87. Закона о инвестиционим фондовима), отворене инвестиционе фондове са приватном понудом (члан 123. Закона о инвестиционим фондовима), те </w:t>
      </w:r>
      <w:r w:rsidR="00675F30">
        <w:rPr>
          <w:lang w:val="sr-Cyrl-BA"/>
        </w:rPr>
        <w:t>отворене алтернативне фондове</w:t>
      </w:r>
      <w:r w:rsidRPr="00DF4E06">
        <w:rPr>
          <w:lang w:val="sr-Cyrl-BA"/>
        </w:rPr>
        <w:t xml:space="preserve"> са приватном понудом (члан 195. Закона о инвестиционим фондовима).</w:t>
      </w:r>
    </w:p>
    <w:p w14:paraId="687D0DC4" w14:textId="175C532B" w:rsidR="006C0A13" w:rsidRDefault="007232BF" w:rsidP="006C0A13">
      <w:pPr>
        <w:spacing w:line="240" w:lineRule="auto"/>
        <w:ind w:firstLine="567"/>
        <w:rPr>
          <w:lang w:val="sr-Cyrl-BA"/>
        </w:rPr>
      </w:pPr>
      <w:r w:rsidRPr="007232BF">
        <w:rPr>
          <w:lang w:val="sr-Cyrl-BA"/>
        </w:rPr>
        <w:t>Дозволу за оснивање пословнице друштву за управљање инвестиционим фондовима Комисија издаје на основу члана 33. и 34. Закона о инвестиционим фондовима</w:t>
      </w:r>
      <w:r w:rsidR="003B5FF2">
        <w:rPr>
          <w:lang w:val="sr-Cyrl-BA"/>
        </w:rPr>
        <w:t>.</w:t>
      </w:r>
    </w:p>
    <w:p w14:paraId="4BEF5A55" w14:textId="1C8BC69E" w:rsidR="00C82038" w:rsidRDefault="00C82038" w:rsidP="006C0A13">
      <w:pPr>
        <w:spacing w:line="240" w:lineRule="auto"/>
        <w:ind w:firstLine="567"/>
        <w:rPr>
          <w:lang w:val="sr-Cyrl-BA"/>
        </w:rPr>
      </w:pPr>
    </w:p>
    <w:p w14:paraId="394F5638" w14:textId="33AB6C60" w:rsidR="00C82038" w:rsidRDefault="00C82038" w:rsidP="006C0A13">
      <w:pPr>
        <w:spacing w:line="240" w:lineRule="auto"/>
        <w:ind w:firstLine="567"/>
        <w:rPr>
          <w:lang w:val="sr-Cyrl-BA"/>
        </w:rPr>
      </w:pPr>
    </w:p>
    <w:p w14:paraId="52696408" w14:textId="302F79D9" w:rsidR="00C82038" w:rsidRDefault="00C82038" w:rsidP="006C0A13">
      <w:pPr>
        <w:spacing w:line="240" w:lineRule="auto"/>
        <w:ind w:firstLine="567"/>
        <w:rPr>
          <w:lang w:val="sr-Cyrl-BA"/>
        </w:rPr>
      </w:pPr>
    </w:p>
    <w:p w14:paraId="286245BC" w14:textId="5D1A1736" w:rsidR="00C82038" w:rsidRDefault="00C82038" w:rsidP="006C0A13">
      <w:pPr>
        <w:spacing w:line="240" w:lineRule="auto"/>
        <w:ind w:firstLine="567"/>
        <w:rPr>
          <w:lang w:val="sr-Cyrl-BA"/>
        </w:rPr>
      </w:pPr>
    </w:p>
    <w:p w14:paraId="4CF94B42" w14:textId="77777777" w:rsidR="00C82038" w:rsidRDefault="00C82038" w:rsidP="006C0A13">
      <w:pPr>
        <w:spacing w:line="240" w:lineRule="auto"/>
        <w:ind w:firstLine="567"/>
        <w:rPr>
          <w:lang w:val="sr-Cyrl-BA"/>
        </w:rPr>
      </w:pPr>
    </w:p>
    <w:tbl>
      <w:tblPr>
        <w:tblStyle w:val="LightGrid-Accent12"/>
        <w:tblpPr w:leftFromText="180" w:rightFromText="180" w:vertAnchor="text" w:tblpXSpec="center" w:tblpY="1"/>
        <w:tblOverlap w:val="never"/>
        <w:tblW w:w="9464" w:type="dxa"/>
        <w:tblLook w:val="06A0" w:firstRow="1" w:lastRow="0" w:firstColumn="1" w:lastColumn="0" w:noHBand="1" w:noVBand="1"/>
      </w:tblPr>
      <w:tblGrid>
        <w:gridCol w:w="534"/>
        <w:gridCol w:w="466"/>
        <w:gridCol w:w="5345"/>
        <w:gridCol w:w="3119"/>
      </w:tblGrid>
      <w:tr w:rsidR="001B7591" w:rsidRPr="004448F0" w14:paraId="76D0A800" w14:textId="77777777" w:rsidTr="007874B3">
        <w:trPr>
          <w:cnfStyle w:val="100000000000" w:firstRow="1" w:lastRow="0" w:firstColumn="0" w:lastColumn="0" w:oddVBand="0" w:evenVBand="0" w:oddHBand="0" w:evenHBand="0" w:firstRowFirstColumn="0" w:firstRowLastColumn="0" w:lastRowFirstColumn="0" w:lastRowLastColumn="0"/>
          <w:trHeight w:val="274"/>
          <w:tblHeader/>
        </w:trPr>
        <w:tc>
          <w:tcPr>
            <w:cnfStyle w:val="001000000000" w:firstRow="0" w:lastRow="0" w:firstColumn="1" w:lastColumn="0" w:oddVBand="0" w:evenVBand="0" w:oddHBand="0" w:evenHBand="0" w:firstRowFirstColumn="0" w:firstRowLastColumn="0" w:lastRowFirstColumn="0" w:lastRowLastColumn="0"/>
            <w:tcW w:w="534" w:type="dxa"/>
            <w:tcBorders>
              <w:right w:val="single" w:sz="4" w:space="0" w:color="0070C0"/>
            </w:tcBorders>
            <w:vAlign w:val="center"/>
          </w:tcPr>
          <w:p w14:paraId="34C2366C" w14:textId="77777777" w:rsidR="001B7591" w:rsidRPr="004448F0" w:rsidRDefault="001B7591" w:rsidP="007874B3">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lastRenderedPageBreak/>
              <w:t>Р. бр.</w:t>
            </w:r>
          </w:p>
        </w:tc>
        <w:tc>
          <w:tcPr>
            <w:tcW w:w="5811" w:type="dxa"/>
            <w:gridSpan w:val="2"/>
            <w:tcBorders>
              <w:right w:val="single" w:sz="4" w:space="0" w:color="0070C0"/>
            </w:tcBorders>
            <w:vAlign w:val="center"/>
            <w:hideMark/>
          </w:tcPr>
          <w:p w14:paraId="19AEAD5F" w14:textId="77777777" w:rsidR="001B7591" w:rsidRPr="004448F0" w:rsidRDefault="001B7591" w:rsidP="007874B3">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за управљање (ДУИФ) и инвестиционих фондова (ИФ) којима управљају</w:t>
            </w:r>
          </w:p>
        </w:tc>
        <w:tc>
          <w:tcPr>
            <w:tcW w:w="3119" w:type="dxa"/>
            <w:tcBorders>
              <w:left w:val="single" w:sz="4" w:space="0" w:color="0070C0"/>
            </w:tcBorders>
            <w:vAlign w:val="center"/>
            <w:hideMark/>
          </w:tcPr>
          <w:p w14:paraId="5D3DCAB6" w14:textId="77777777" w:rsidR="001B7591" w:rsidRPr="004448F0" w:rsidRDefault="001B7591" w:rsidP="007874B3">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Датум оснивања </w:t>
            </w:r>
          </w:p>
          <w:p w14:paraId="2696809C" w14:textId="77777777" w:rsidR="001B7591" w:rsidRPr="004448F0" w:rsidRDefault="001B7591" w:rsidP="007874B3">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(упис у судски регистар или у</w:t>
            </w:r>
            <w:r w:rsidRPr="004448F0">
              <w:rPr>
                <w:rFonts w:ascii="Times New Roman" w:eastAsia="Times New Roman" w:hAnsi="Times New Roman" w:cs="Times New Roman"/>
                <w:sz w:val="20"/>
                <w:szCs w:val="20"/>
                <w:lang w:val="en-GB" w:eastAsia="sr-Latn-CS"/>
              </w:rPr>
              <w:t xml:space="preserve"> </w:t>
            </w:r>
            <w:r w:rsidRPr="004448F0">
              <w:rPr>
                <w:rFonts w:ascii="Times New Roman" w:eastAsia="Times New Roman" w:hAnsi="Times New Roman" w:cs="Times New Roman"/>
                <w:sz w:val="20"/>
                <w:szCs w:val="20"/>
                <w:lang w:val="sr-Cyrl-BA" w:eastAsia="sr-Latn-CS"/>
              </w:rPr>
              <w:t>регистар код Комисије)</w:t>
            </w:r>
            <w:r w:rsidRPr="004448F0">
              <w:rPr>
                <w:rStyle w:val="FootnoteReference"/>
                <w:rFonts w:ascii="Times New Roman" w:eastAsia="Times New Roman" w:hAnsi="Times New Roman" w:cs="Times New Roman"/>
                <w:sz w:val="20"/>
                <w:szCs w:val="20"/>
                <w:lang w:val="sr-Cyrl-BA" w:eastAsia="sr-Latn-CS"/>
              </w:rPr>
              <w:footnoteReference w:id="14"/>
            </w:r>
          </w:p>
        </w:tc>
      </w:tr>
      <w:tr w:rsidR="001B7591" w:rsidRPr="004448F0" w14:paraId="7EBDE664" w14:textId="77777777" w:rsidTr="007874B3">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DCA0535" w14:textId="77777777" w:rsidR="001B7591" w:rsidRPr="004448F0" w:rsidRDefault="001B7591" w:rsidP="007874B3">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0A3689D0"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ДУИФ </w:t>
            </w:r>
            <w:r w:rsidRPr="004448F0">
              <w:rPr>
                <w:rFonts w:ascii="Times New Roman" w:eastAsia="Times New Roman" w:hAnsi="Times New Roman" w:cs="Times New Roman"/>
                <w:sz w:val="20"/>
                <w:szCs w:val="20"/>
                <w:lang w:val="en-GB" w:eastAsia="sr-Latn-CS"/>
              </w:rPr>
              <w:t xml:space="preserve"> </w:t>
            </w:r>
            <w:r w:rsidRPr="004448F0">
              <w:rPr>
                <w:rFonts w:ascii="Times New Roman" w:eastAsia="Times New Roman" w:hAnsi="Times New Roman" w:cs="Times New Roman"/>
                <w:sz w:val="20"/>
                <w:szCs w:val="20"/>
                <w:lang w:val="sr-Cyrl-BA" w:eastAsia="sr-Latn-CS"/>
              </w:rPr>
              <w:t>„</w:t>
            </w:r>
            <w:proofErr w:type="spellStart"/>
            <w:r w:rsidRPr="004448F0">
              <w:rPr>
                <w:rFonts w:ascii="Times New Roman" w:eastAsia="Times New Roman" w:hAnsi="Times New Roman" w:cs="Times New Roman"/>
                <w:sz w:val="20"/>
                <w:szCs w:val="20"/>
                <w:lang w:val="sr-Cyrl-BA" w:eastAsia="sr-Latn-CS"/>
              </w:rPr>
              <w:t>Еуроинвестмент</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Бања Лука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951B5F2"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13.</w:t>
            </w:r>
            <w:r w:rsidRPr="004448F0">
              <w:rPr>
                <w:rFonts w:ascii="Times New Roman" w:eastAsia="Times New Roman" w:hAnsi="Times New Roman" w:cs="Times New Roman"/>
                <w:bCs/>
                <w:sz w:val="20"/>
                <w:szCs w:val="20"/>
                <w:lang w:val="en-GB" w:eastAsia="sr-Latn-CS"/>
              </w:rPr>
              <w:t>0</w:t>
            </w:r>
            <w:r w:rsidRPr="004448F0">
              <w:rPr>
                <w:rFonts w:ascii="Times New Roman" w:eastAsia="Times New Roman" w:hAnsi="Times New Roman" w:cs="Times New Roman"/>
                <w:bCs/>
                <w:sz w:val="20"/>
                <w:szCs w:val="20"/>
                <w:lang w:val="sr-Cyrl-BA" w:eastAsia="sr-Latn-CS"/>
              </w:rPr>
              <w:t>9.2000.</w:t>
            </w:r>
          </w:p>
        </w:tc>
      </w:tr>
      <w:tr w:rsidR="001B7591" w:rsidRPr="004448F0" w14:paraId="0F9E488B" w14:textId="77777777" w:rsidTr="007874B3">
        <w:trPr>
          <w:trHeight w:val="29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63C9698"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D6A2041"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sr-Cyrl-BA"/>
              </w:rPr>
              <w:t>1.</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hideMark/>
          </w:tcPr>
          <w:p w14:paraId="1B64520E"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Еуроинвестмент</w:t>
            </w:r>
            <w:proofErr w:type="spellEnd"/>
            <w:r w:rsidRPr="004448F0">
              <w:rPr>
                <w:rFonts w:ascii="Times New Roman" w:eastAsia="Times New Roman" w:hAnsi="Times New Roman" w:cs="Times New Roman"/>
                <w:sz w:val="20"/>
                <w:szCs w:val="20"/>
                <w:lang w:val="sr-Cyrl-BA" w:eastAsia="sr-Latn-CS"/>
              </w:rPr>
              <w:t xml:space="preserve"> фонд</w:t>
            </w:r>
            <w:r w:rsidRPr="004448F0">
              <w:rPr>
                <w:rFonts w:ascii="Times New Roman" w:eastAsia="Times New Roman" w:hAnsi="Times New Roman" w:cs="Times New Roman"/>
                <w:sz w:val="20"/>
                <w:szCs w:val="20"/>
                <w:lang w:val="en-GB"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72ACA10D"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63AB51E0"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07</w:t>
            </w:r>
            <w:r w:rsidRPr="004448F0">
              <w:rPr>
                <w:rFonts w:ascii="Times New Roman" w:eastAsia="Times New Roman" w:hAnsi="Times New Roman" w:cs="Times New Roman"/>
                <w:sz w:val="20"/>
                <w:szCs w:val="20"/>
                <w:lang w:val="sr-Cyrl-BA" w:eastAsia="sr-Latn-CS"/>
              </w:rPr>
              <w:t>.2007. (ЗИФ)</w:t>
            </w:r>
          </w:p>
          <w:p w14:paraId="3E70FCC8"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1B7591" w:rsidRPr="004448F0" w14:paraId="79EE0E43" w14:textId="77777777" w:rsidTr="007874B3">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4651C5B3" w14:textId="77777777" w:rsidR="001B7591" w:rsidRPr="004448F0" w:rsidRDefault="001B7591" w:rsidP="007874B3">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w:t>
            </w:r>
            <w:r w:rsidRPr="004448F0">
              <w:rPr>
                <w:rFonts w:ascii="Times New Roman" w:eastAsia="Times New Roman" w:hAnsi="Times New Roman" w:cs="Times New Roman"/>
                <w:sz w:val="20"/>
                <w:szCs w:val="20"/>
                <w:lang w:val="sr-Cyrl-BA" w:eastAsia="sr-Latn-CS"/>
              </w:rPr>
              <w:t>.</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A1A4FA0"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r w:rsidRPr="004448F0">
              <w:rPr>
                <w:rFonts w:ascii="Times New Roman" w:eastAsia="Times New Roman" w:hAnsi="Times New Roman" w:cs="Times New Roman"/>
                <w:sz w:val="20"/>
                <w:szCs w:val="20"/>
                <w:lang w:val="en-GB" w:eastAsia="sr-Latn-CS"/>
              </w:rPr>
              <w:t>Management solutions</w:t>
            </w:r>
            <w:r w:rsidRPr="004448F0">
              <w:rPr>
                <w:rFonts w:ascii="Times New Roman" w:eastAsia="Times New Roman" w:hAnsi="Times New Roman" w:cs="Times New Roman"/>
                <w:sz w:val="20"/>
                <w:szCs w:val="20"/>
                <w:lang w:val="sr-Cyrl-BA" w:eastAsia="sr-Latn-CS"/>
              </w:rPr>
              <w:t>“ д.</w:t>
            </w:r>
            <w:proofErr w:type="spellStart"/>
            <w:r w:rsidRPr="004448F0">
              <w:rPr>
                <w:rFonts w:ascii="Times New Roman" w:eastAsia="Times New Roman" w:hAnsi="Times New Roman" w:cs="Times New Roman"/>
                <w:sz w:val="20"/>
                <w:szCs w:val="20"/>
                <w:lang w:val="en-GB" w:eastAsia="sr-Latn-CS"/>
              </w:rPr>
              <w:t>o.o.</w:t>
            </w:r>
            <w:proofErr w:type="spellEnd"/>
            <w:r w:rsidRPr="004448F0">
              <w:rPr>
                <w:rFonts w:ascii="Times New Roman" w:eastAsia="Times New Roman" w:hAnsi="Times New Roman" w:cs="Times New Roman"/>
                <w:sz w:val="20"/>
                <w:szCs w:val="20"/>
                <w:lang w:val="sr-Cyrl-BA" w:eastAsia="sr-Latn-CS"/>
              </w:rPr>
              <w:t xml:space="preserve"> Бања Лука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E6D80AB"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06.08.2008.</w:t>
            </w:r>
          </w:p>
        </w:tc>
      </w:tr>
      <w:tr w:rsidR="001B7591" w:rsidRPr="004448F0" w14:paraId="5FC069F6" w14:textId="77777777" w:rsidTr="007874B3">
        <w:trPr>
          <w:trHeight w:val="428"/>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CA62124"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C524535"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2</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B35E803"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мјешовити инвестициони фонд „</w:t>
            </w:r>
            <w:r w:rsidRPr="004448F0">
              <w:rPr>
                <w:rFonts w:ascii="Times New Roman" w:eastAsia="Times New Roman" w:hAnsi="Times New Roman" w:cs="Times New Roman"/>
                <w:sz w:val="20"/>
                <w:szCs w:val="20"/>
                <w:lang w:val="en-GB" w:eastAsia="sr-Latn-CS"/>
              </w:rPr>
              <w:t>Balkan Investment fond</w:t>
            </w:r>
            <w:r w:rsidRPr="004448F0">
              <w:rPr>
                <w:rFonts w:ascii="Times New Roman" w:eastAsia="Times New Roman" w:hAnsi="Times New Roman" w:cs="Times New Roman"/>
                <w:sz w:val="20"/>
                <w:szCs w:val="20"/>
                <w:lang w:val="sr-Cyrl-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E1261D4"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26.06.2002.</w:t>
            </w:r>
            <w:r w:rsidRPr="004448F0">
              <w:rPr>
                <w:rFonts w:ascii="Times New Roman" w:eastAsia="Times New Roman" w:hAnsi="Times New Roman" w:cs="Times New Roman"/>
                <w:sz w:val="20"/>
                <w:szCs w:val="20"/>
                <w:lang w:val="sr-Cyrl-BA" w:eastAsia="sr-Latn-CS"/>
              </w:rPr>
              <w:t xml:space="preserve"> (ПИФ)</w:t>
            </w:r>
          </w:p>
          <w:p w14:paraId="123FD856"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10</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09</w:t>
            </w:r>
            <w:r w:rsidRPr="004448F0">
              <w:rPr>
                <w:rFonts w:ascii="Times New Roman" w:eastAsia="Times New Roman" w:hAnsi="Times New Roman" w:cs="Times New Roman"/>
                <w:sz w:val="20"/>
                <w:szCs w:val="20"/>
                <w:lang w:val="sr-Cyrl-BA" w:eastAsia="sr-Latn-CS"/>
              </w:rPr>
              <w:t>.2007. (ЗИФ)</w:t>
            </w:r>
          </w:p>
          <w:p w14:paraId="365B184F"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(ОМИФ)</w:t>
            </w:r>
          </w:p>
        </w:tc>
      </w:tr>
      <w:tr w:rsidR="001B7591" w:rsidRPr="004448F0" w14:paraId="3E4DAC86" w14:textId="77777777" w:rsidTr="007874B3">
        <w:trPr>
          <w:trHeight w:val="56"/>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3ADE558"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1445F25"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3</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7030A25"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„Профит плус“ </w:t>
            </w:r>
          </w:p>
          <w:p w14:paraId="7AA92972"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46A7EBDB"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22.05.2002.</w:t>
            </w:r>
            <w:r w:rsidRPr="004448F0">
              <w:rPr>
                <w:rFonts w:ascii="Times New Roman" w:eastAsia="Times New Roman" w:hAnsi="Times New Roman" w:cs="Times New Roman"/>
                <w:sz w:val="20"/>
                <w:szCs w:val="20"/>
                <w:lang w:val="sr-Cyrl-BA" w:eastAsia="sr-Latn-CS"/>
              </w:rPr>
              <w:t xml:space="preserve"> (ПИФ)</w:t>
            </w:r>
          </w:p>
          <w:p w14:paraId="33100AB3"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.2007. (ЗИФ)</w:t>
            </w:r>
          </w:p>
          <w:p w14:paraId="09773C36"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21.06.2018. (ОАИФ)</w:t>
            </w:r>
          </w:p>
        </w:tc>
      </w:tr>
      <w:tr w:rsidR="001B7591" w:rsidRPr="004448F0" w14:paraId="48B5736F"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4E06067"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EDF3372"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4</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3C58910"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мјешовити инвестициони фонд „ВБ фонд“ </w:t>
            </w:r>
          </w:p>
          <w:p w14:paraId="4C27ECF9"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32BAF535"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19</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.2002. (ПИФ)</w:t>
            </w:r>
          </w:p>
          <w:p w14:paraId="495DC98C"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12</w:t>
            </w:r>
            <w:r w:rsidRPr="004448F0">
              <w:rPr>
                <w:rFonts w:ascii="Times New Roman" w:eastAsia="Times New Roman" w:hAnsi="Times New Roman" w:cs="Times New Roman"/>
                <w:sz w:val="20"/>
                <w:szCs w:val="20"/>
                <w:lang w:val="sr-Cyrl-BA" w:eastAsia="sr-Latn-CS"/>
              </w:rPr>
              <w:t>.07.2007. (ЗИФ)</w:t>
            </w:r>
          </w:p>
          <w:p w14:paraId="2E09CACA"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21.06.2018. (ОМИФ)</w:t>
            </w:r>
          </w:p>
        </w:tc>
      </w:tr>
      <w:tr w:rsidR="001B7591" w:rsidRPr="004448F0" w14:paraId="2490EB9A"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41A512C"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0A8FBBF"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5</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DCEA47A"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Борс</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фонд“</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B88D135"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2ACEC5E2"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27</w:t>
            </w:r>
            <w:r w:rsidRPr="004448F0">
              <w:rPr>
                <w:rFonts w:ascii="Times New Roman" w:eastAsia="Times New Roman" w:hAnsi="Times New Roman" w:cs="Times New Roman"/>
                <w:sz w:val="20"/>
                <w:szCs w:val="20"/>
                <w:lang w:val="sr-Cyrl-BA" w:eastAsia="sr-Latn-CS"/>
              </w:rPr>
              <w:t>.07.2007. (ЗИФ)</w:t>
            </w:r>
          </w:p>
          <w:p w14:paraId="598A2A98"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1B7591" w:rsidRPr="004448F0" w14:paraId="6B5F6FF1"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6AB3960"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1C50E30"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6</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FBE1A03"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„Актива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фонд“</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AF89F03"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7EF8F939"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08</w:t>
            </w:r>
            <w:r w:rsidRPr="004448F0">
              <w:rPr>
                <w:rFonts w:ascii="Times New Roman" w:eastAsia="Times New Roman" w:hAnsi="Times New Roman" w:cs="Times New Roman"/>
                <w:sz w:val="20"/>
                <w:szCs w:val="20"/>
                <w:lang w:val="sr-Cyrl-BA" w:eastAsia="sr-Latn-CS"/>
              </w:rPr>
              <w:t>.2007. (ЗИФ)</w:t>
            </w:r>
          </w:p>
          <w:p w14:paraId="307DF652"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1B7591" w:rsidRPr="004448F0" w14:paraId="1AF9CADA"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7566DAE"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9BA933C"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7</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5AF5BA2"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r>
              <w:rPr>
                <w:rFonts w:ascii="Times New Roman" w:eastAsia="Times New Roman" w:hAnsi="Times New Roman" w:cs="Times New Roman"/>
                <w:sz w:val="20"/>
                <w:szCs w:val="20"/>
                <w:lang w:val="sr-Cyrl-BA" w:eastAsia="sr-Latn-CS"/>
              </w:rPr>
              <w:t>ВИБ</w:t>
            </w:r>
            <w:r w:rsidRPr="004448F0">
              <w:rPr>
                <w:rFonts w:ascii="Times New Roman" w:eastAsia="Times New Roman" w:hAnsi="Times New Roman" w:cs="Times New Roman"/>
                <w:sz w:val="20"/>
                <w:szCs w:val="20"/>
                <w:lang w:val="sr-Cyrl-BA" w:eastAsia="sr-Latn-CS"/>
              </w:rPr>
              <w:t xml:space="preserve"> фонд“</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135B32D7"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w:t>
            </w:r>
            <w:r w:rsidRPr="004448F0">
              <w:rPr>
                <w:rFonts w:ascii="Times New Roman" w:eastAsia="Times New Roman" w:hAnsi="Times New Roman" w:cs="Times New Roman"/>
                <w:sz w:val="20"/>
                <w:szCs w:val="20"/>
                <w:lang w:val="sr-Cyrl-BA" w:eastAsia="sr-Latn-CS"/>
              </w:rPr>
              <w:t>.0</w:t>
            </w:r>
            <w:r w:rsidRPr="004448F0">
              <w:rPr>
                <w:rFonts w:ascii="Times New Roman" w:eastAsia="Times New Roman" w:hAnsi="Times New Roman" w:cs="Times New Roman"/>
                <w:sz w:val="20"/>
                <w:szCs w:val="20"/>
                <w:lang w:val="en-GB" w:eastAsia="sr-Latn-CS"/>
              </w:rPr>
              <w:t>5</w:t>
            </w:r>
            <w:r w:rsidRPr="004448F0">
              <w:rPr>
                <w:rFonts w:ascii="Times New Roman" w:eastAsia="Times New Roman" w:hAnsi="Times New Roman" w:cs="Times New Roman"/>
                <w:sz w:val="20"/>
                <w:szCs w:val="20"/>
                <w:lang w:val="sr-Cyrl-BA" w:eastAsia="sr-Latn-CS"/>
              </w:rPr>
              <w:t>.2002. (ПИФ)</w:t>
            </w:r>
          </w:p>
          <w:p w14:paraId="2CBA258B"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10</w:t>
            </w:r>
            <w:r w:rsidRPr="004448F0">
              <w:rPr>
                <w:rFonts w:ascii="Times New Roman" w:eastAsia="Times New Roman" w:hAnsi="Times New Roman" w:cs="Times New Roman"/>
                <w:sz w:val="20"/>
                <w:szCs w:val="20"/>
                <w:lang w:val="sr-Cyrl-BA" w:eastAsia="sr-Latn-CS"/>
              </w:rPr>
              <w:t>.2007. (ЗИФ)</w:t>
            </w:r>
          </w:p>
          <w:p w14:paraId="7C3F0B40"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p w14:paraId="199F9A93"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r>
      <w:tr w:rsidR="001B7591" w:rsidRPr="004448F0" w14:paraId="617331C5"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BE7D1AD"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763DACE"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8.</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CCDB52E" w14:textId="77777777" w:rsidR="001B7591" w:rsidRPr="001604FD"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Pr>
                <w:rFonts w:ascii="Times New Roman" w:eastAsia="Times New Roman" w:hAnsi="Times New Roman" w:cs="Times New Roman"/>
                <w:sz w:val="20"/>
                <w:szCs w:val="20"/>
                <w:lang w:val="sr-Cyrl-BA" w:eastAsia="sr-Latn-CS"/>
              </w:rPr>
              <w:t>Отворени акцијски инвестициони фонд „</w:t>
            </w:r>
            <w:r>
              <w:rPr>
                <w:rFonts w:ascii="Times New Roman" w:eastAsia="Times New Roman" w:hAnsi="Times New Roman" w:cs="Times New Roman"/>
                <w:sz w:val="20"/>
                <w:szCs w:val="20"/>
                <w:lang w:val="sr-Latn-BA" w:eastAsia="sr-Latn-CS"/>
              </w:rPr>
              <w:t>MS Global Equity“</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1AAC5CDC" w14:textId="77777777" w:rsidR="001B7591" w:rsidRPr="001604FD"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en-GB" w:eastAsia="sr-Latn-CS"/>
              </w:rPr>
              <w:t xml:space="preserve">26.01.2023. </w:t>
            </w:r>
            <w:r>
              <w:rPr>
                <w:rFonts w:ascii="Times New Roman" w:eastAsia="Times New Roman" w:hAnsi="Times New Roman" w:cs="Times New Roman"/>
                <w:sz w:val="20"/>
                <w:szCs w:val="20"/>
                <w:lang w:val="sr-Cyrl-BA" w:eastAsia="sr-Latn-CS"/>
              </w:rPr>
              <w:t>(ОАИФ)</w:t>
            </w:r>
          </w:p>
        </w:tc>
      </w:tr>
      <w:tr w:rsidR="001B7591" w:rsidRPr="004448F0" w14:paraId="4A9C94DB" w14:textId="77777777" w:rsidTr="007874B3">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B494835" w14:textId="77777777" w:rsidR="001B7591" w:rsidRPr="004448F0" w:rsidRDefault="001B7591" w:rsidP="007874B3">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w:t>
            </w:r>
            <w:r w:rsidRPr="004448F0">
              <w:rPr>
                <w:rFonts w:ascii="Times New Roman" w:eastAsia="Times New Roman" w:hAnsi="Times New Roman" w:cs="Times New Roman"/>
                <w:sz w:val="20"/>
                <w:szCs w:val="20"/>
                <w:lang w:val="sr-Cyrl-BA" w:eastAsia="sr-Latn-CS"/>
              </w:rPr>
              <w:t>.</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6563D379"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нова“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Бијељина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41B4A7F7"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01.09.2000</w:t>
            </w:r>
            <w:r w:rsidRPr="004448F0">
              <w:rPr>
                <w:sz w:val="20"/>
                <w:szCs w:val="20"/>
                <w:lang w:val="sr-Cyrl-BA"/>
              </w:rPr>
              <w:t>.</w:t>
            </w:r>
          </w:p>
        </w:tc>
      </w:tr>
      <w:tr w:rsidR="001B7591" w:rsidRPr="004448F0" w14:paraId="0E980E25"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4078580"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F996793"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sr-Cyrl-BA"/>
              </w:rPr>
              <w:t>9.</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B2757C8"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мјешовити инвестициони фонд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нова“</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4F5F6447"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1996E2B8"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20</w:t>
            </w:r>
            <w:r w:rsidRPr="004448F0">
              <w:rPr>
                <w:rFonts w:ascii="Times New Roman" w:eastAsia="Times New Roman" w:hAnsi="Times New Roman" w:cs="Times New Roman"/>
                <w:sz w:val="20"/>
                <w:szCs w:val="20"/>
                <w:lang w:val="sr-Cyrl-BA" w:eastAsia="sr-Latn-CS"/>
              </w:rPr>
              <w:t>.06.2007. (ЗИФ)</w:t>
            </w:r>
          </w:p>
          <w:p w14:paraId="4C846809"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29.09.2017. (ОМИФ)</w:t>
            </w:r>
          </w:p>
        </w:tc>
      </w:tr>
      <w:tr w:rsidR="001B7591" w:rsidRPr="004448F0" w14:paraId="55892427" w14:textId="77777777" w:rsidTr="007874B3">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A6351FE" w14:textId="77777777" w:rsidR="001B7591" w:rsidRPr="002C7225" w:rsidRDefault="001B7591" w:rsidP="007874B3">
            <w:pPr>
              <w:spacing w:after="0" w:line="240" w:lineRule="auto"/>
              <w:ind w:firstLine="0"/>
              <w:jc w:val="center"/>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4</w:t>
            </w:r>
            <w:r w:rsidRPr="002C7225">
              <w:rPr>
                <w:rFonts w:ascii="Times New Roman" w:eastAsia="Times New Roman" w:hAnsi="Times New Roman" w:cs="Times New Roman"/>
                <w:sz w:val="20"/>
                <w:szCs w:val="20"/>
                <w:lang w:val="sr-Cyrl-BA" w:eastAsia="sr-Latn-CS"/>
              </w:rPr>
              <w:t>.</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F4D7216" w14:textId="77777777" w:rsidR="001B7591" w:rsidRPr="002C7225"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2C7225">
              <w:rPr>
                <w:rFonts w:ascii="Times New Roman" w:eastAsia="Times New Roman" w:hAnsi="Times New Roman" w:cs="Times New Roman"/>
                <w:sz w:val="20"/>
                <w:szCs w:val="20"/>
                <w:lang w:val="sr-Cyrl-BA" w:eastAsia="sr-Latn-CS"/>
              </w:rPr>
              <w:t xml:space="preserve">Назив друштва: ДУИФ „Кристал </w:t>
            </w:r>
            <w:proofErr w:type="spellStart"/>
            <w:r w:rsidRPr="002C7225">
              <w:rPr>
                <w:rFonts w:ascii="Times New Roman" w:eastAsia="Times New Roman" w:hAnsi="Times New Roman" w:cs="Times New Roman"/>
                <w:sz w:val="20"/>
                <w:szCs w:val="20"/>
                <w:lang w:val="sr-Cyrl-BA" w:eastAsia="sr-Latn-CS"/>
              </w:rPr>
              <w:t>инвест</w:t>
            </w:r>
            <w:proofErr w:type="spellEnd"/>
            <w:r w:rsidRPr="002C7225">
              <w:rPr>
                <w:rFonts w:ascii="Times New Roman" w:eastAsia="Times New Roman" w:hAnsi="Times New Roman" w:cs="Times New Roman"/>
                <w:sz w:val="20"/>
                <w:szCs w:val="20"/>
                <w:lang w:val="sr-Cyrl-BA" w:eastAsia="sr-Latn-CS"/>
              </w:rPr>
              <w:t xml:space="preserve">“ </w:t>
            </w:r>
            <w:proofErr w:type="spellStart"/>
            <w:r w:rsidRPr="002C7225">
              <w:rPr>
                <w:rFonts w:ascii="Times New Roman" w:eastAsia="Times New Roman" w:hAnsi="Times New Roman" w:cs="Times New Roman"/>
                <w:sz w:val="20"/>
                <w:szCs w:val="20"/>
                <w:lang w:val="sr-Cyrl-BA" w:eastAsia="sr-Latn-CS"/>
              </w:rPr>
              <w:t>а.д</w:t>
            </w:r>
            <w:proofErr w:type="spellEnd"/>
            <w:r w:rsidRPr="002C7225">
              <w:rPr>
                <w:rFonts w:ascii="Times New Roman" w:eastAsia="Times New Roman" w:hAnsi="Times New Roman" w:cs="Times New Roman"/>
                <w:sz w:val="20"/>
                <w:szCs w:val="20"/>
                <w:lang w:val="sr-Cyrl-BA" w:eastAsia="sr-Latn-CS"/>
              </w:rPr>
              <w:t>. Бања Лука</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91E96B9"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2C7225">
              <w:rPr>
                <w:rFonts w:ascii="Times New Roman" w:eastAsia="Times New Roman" w:hAnsi="Times New Roman" w:cs="Times New Roman"/>
                <w:bCs/>
                <w:sz w:val="20"/>
                <w:szCs w:val="20"/>
                <w:lang w:val="sr-Cyrl-BA" w:eastAsia="sr-Latn-CS"/>
              </w:rPr>
              <w:t>08.09.2000.</w:t>
            </w:r>
          </w:p>
        </w:tc>
      </w:tr>
      <w:tr w:rsidR="001B7591" w:rsidRPr="004448F0" w14:paraId="75CD1233" w14:textId="77777777" w:rsidTr="007874B3">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93CCA0F" w14:textId="77777777" w:rsidR="001B7591" w:rsidRPr="002C7225"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C204569"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D13D489" w14:textId="77777777" w:rsidR="001B7591" w:rsidRPr="002C7225"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7CCD94A9"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r>
      <w:tr w:rsidR="001B7591" w:rsidRPr="004448F0" w14:paraId="30E6FE51" w14:textId="77777777" w:rsidTr="007874B3">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74023A4" w14:textId="77777777" w:rsidR="001B7591" w:rsidRPr="002C7225"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2A420D2"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10</w:t>
            </w:r>
            <w:r w:rsidRPr="002C7225">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D8BF4BF" w14:textId="77777777" w:rsidR="001B7591" w:rsidRPr="002C7225"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2C7225">
              <w:rPr>
                <w:rFonts w:ascii="Times New Roman" w:eastAsia="Times New Roman" w:hAnsi="Times New Roman" w:cs="Times New Roman"/>
                <w:sz w:val="20"/>
                <w:szCs w:val="20"/>
                <w:lang w:val="sr-Cyrl-BA" w:eastAsia="sr-Latn-CS"/>
              </w:rPr>
              <w:t xml:space="preserve">Отворени </w:t>
            </w:r>
            <w:r>
              <w:rPr>
                <w:rFonts w:ascii="Times New Roman" w:eastAsia="Times New Roman" w:hAnsi="Times New Roman" w:cs="Times New Roman"/>
                <w:sz w:val="20"/>
                <w:szCs w:val="20"/>
                <w:lang w:val="sr-Cyrl-BA" w:eastAsia="sr-Latn-CS"/>
              </w:rPr>
              <w:t>акцијски</w:t>
            </w:r>
            <w:r w:rsidRPr="002C7225">
              <w:rPr>
                <w:rFonts w:ascii="Times New Roman" w:eastAsia="Times New Roman" w:hAnsi="Times New Roman" w:cs="Times New Roman"/>
                <w:sz w:val="20"/>
                <w:szCs w:val="20"/>
                <w:lang w:val="sr-Cyrl-BA" w:eastAsia="sr-Latn-CS"/>
              </w:rPr>
              <w:t xml:space="preserve"> инвестициони фонд „</w:t>
            </w:r>
            <w:r w:rsidRPr="002C7225">
              <w:rPr>
                <w:rFonts w:ascii="Times New Roman" w:eastAsia="Times New Roman" w:hAnsi="Times New Roman" w:cs="Times New Roman"/>
                <w:sz w:val="20"/>
                <w:szCs w:val="20"/>
                <w:lang w:val="en-GB" w:eastAsia="sr-Latn-CS"/>
              </w:rPr>
              <w:t>Future fund</w:t>
            </w:r>
            <w:r w:rsidRPr="002C7225">
              <w:rPr>
                <w:rFonts w:ascii="Times New Roman" w:eastAsia="Times New Roman" w:hAnsi="Times New Roman" w:cs="Times New Roman"/>
                <w:sz w:val="20"/>
                <w:szCs w:val="20"/>
                <w:lang w:val="sr-Cyrl-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7D394921"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 xml:space="preserve">20.05.2002. </w:t>
            </w:r>
            <w:r w:rsidRPr="002C7225">
              <w:rPr>
                <w:rFonts w:ascii="Times New Roman" w:eastAsia="Times New Roman" w:hAnsi="Times New Roman" w:cs="Times New Roman"/>
                <w:sz w:val="20"/>
                <w:szCs w:val="20"/>
                <w:lang w:val="sr-Cyrl-BA" w:eastAsia="sr-Latn-CS"/>
              </w:rPr>
              <w:t>(ПИФ)</w:t>
            </w:r>
          </w:p>
          <w:p w14:paraId="19B78009"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18</w:t>
            </w:r>
            <w:r w:rsidRPr="002C7225">
              <w:rPr>
                <w:rFonts w:ascii="Times New Roman" w:eastAsia="Times New Roman" w:hAnsi="Times New Roman" w:cs="Times New Roman"/>
                <w:sz w:val="20"/>
                <w:szCs w:val="20"/>
                <w:lang w:val="sr-Cyrl-BA" w:eastAsia="sr-Latn-CS"/>
              </w:rPr>
              <w:t>.</w:t>
            </w:r>
            <w:r w:rsidRPr="002C7225">
              <w:rPr>
                <w:rFonts w:ascii="Times New Roman" w:eastAsia="Times New Roman" w:hAnsi="Times New Roman" w:cs="Times New Roman"/>
                <w:sz w:val="20"/>
                <w:szCs w:val="20"/>
                <w:lang w:val="en-GB" w:eastAsia="sr-Latn-CS"/>
              </w:rPr>
              <w:t>06</w:t>
            </w:r>
            <w:r w:rsidRPr="002C7225">
              <w:rPr>
                <w:rFonts w:ascii="Times New Roman" w:eastAsia="Times New Roman" w:hAnsi="Times New Roman" w:cs="Times New Roman"/>
                <w:sz w:val="20"/>
                <w:szCs w:val="20"/>
                <w:lang w:val="sr-Cyrl-BA" w:eastAsia="sr-Latn-CS"/>
              </w:rPr>
              <w:t>.2007. (ЗИФ)</w:t>
            </w:r>
          </w:p>
          <w:p w14:paraId="2FB7954A"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17.07.2017.</w:t>
            </w:r>
            <w:r w:rsidRPr="002C7225">
              <w:rPr>
                <w:rFonts w:ascii="Times New Roman" w:eastAsia="Times New Roman" w:hAnsi="Times New Roman" w:cs="Times New Roman"/>
                <w:sz w:val="20"/>
                <w:szCs w:val="20"/>
                <w:lang w:val="sr-Cyrl-BA" w:eastAsia="sr-Latn-CS"/>
              </w:rPr>
              <w:t xml:space="preserve"> (О</w:t>
            </w:r>
            <w:r>
              <w:rPr>
                <w:rFonts w:ascii="Times New Roman" w:eastAsia="Times New Roman" w:hAnsi="Times New Roman" w:cs="Times New Roman"/>
                <w:sz w:val="20"/>
                <w:szCs w:val="20"/>
                <w:lang w:val="sr-Cyrl-BA" w:eastAsia="sr-Latn-CS"/>
              </w:rPr>
              <w:t>А</w:t>
            </w:r>
            <w:r w:rsidRPr="002C7225">
              <w:rPr>
                <w:rFonts w:ascii="Times New Roman" w:eastAsia="Times New Roman" w:hAnsi="Times New Roman" w:cs="Times New Roman"/>
                <w:sz w:val="20"/>
                <w:szCs w:val="20"/>
                <w:lang w:val="sr-Cyrl-BA" w:eastAsia="sr-Latn-CS"/>
              </w:rPr>
              <w:t>ИФ)</w:t>
            </w:r>
          </w:p>
        </w:tc>
      </w:tr>
      <w:tr w:rsidR="001B7591" w:rsidRPr="004448F0" w14:paraId="3800C580" w14:textId="77777777" w:rsidTr="007874B3">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8B73960" w14:textId="77777777" w:rsidR="001B7591" w:rsidRPr="002C7225"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820EA73"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11</w:t>
            </w:r>
            <w:r w:rsidRPr="002C7225">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1CEF7B2" w14:textId="77777777" w:rsidR="001B7591" w:rsidRPr="002C7225"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2C7225">
              <w:rPr>
                <w:rFonts w:ascii="Times New Roman" w:eastAsia="Times New Roman" w:hAnsi="Times New Roman" w:cs="Times New Roman"/>
                <w:sz w:val="20"/>
                <w:szCs w:val="20"/>
                <w:lang w:val="sr-Cyrl-BA" w:eastAsia="sr-Latn-CS"/>
              </w:rPr>
              <w:t>Отворени мјешовити инвестициони фонд „</w:t>
            </w:r>
            <w:r w:rsidRPr="002C7225">
              <w:rPr>
                <w:rFonts w:ascii="Times New Roman" w:eastAsia="Times New Roman" w:hAnsi="Times New Roman" w:cs="Times New Roman"/>
                <w:sz w:val="20"/>
                <w:szCs w:val="20"/>
                <w:lang w:val="en-GB" w:eastAsia="sr-Latn-CS"/>
              </w:rPr>
              <w:t>Maximus fund</w:t>
            </w:r>
            <w:r w:rsidRPr="002C7225">
              <w:rPr>
                <w:rFonts w:ascii="Times New Roman" w:eastAsia="Times New Roman" w:hAnsi="Times New Roman" w:cs="Times New Roman"/>
                <w:sz w:val="20"/>
                <w:szCs w:val="20"/>
                <w:lang w:val="sr-Cyrl-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3C01512A"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 xml:space="preserve">20.05.2002. </w:t>
            </w:r>
            <w:r w:rsidRPr="002C7225">
              <w:rPr>
                <w:rFonts w:ascii="Times New Roman" w:eastAsia="Times New Roman" w:hAnsi="Times New Roman" w:cs="Times New Roman"/>
                <w:sz w:val="20"/>
                <w:szCs w:val="20"/>
                <w:lang w:val="sr-Cyrl-BA" w:eastAsia="sr-Latn-CS"/>
              </w:rPr>
              <w:t>(ПИФ)</w:t>
            </w:r>
          </w:p>
          <w:p w14:paraId="19938882"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18</w:t>
            </w:r>
            <w:r w:rsidRPr="002C7225">
              <w:rPr>
                <w:rFonts w:ascii="Times New Roman" w:eastAsia="Times New Roman" w:hAnsi="Times New Roman" w:cs="Times New Roman"/>
                <w:sz w:val="20"/>
                <w:szCs w:val="20"/>
                <w:lang w:val="sr-Cyrl-BA" w:eastAsia="sr-Latn-CS"/>
              </w:rPr>
              <w:t>.</w:t>
            </w:r>
            <w:r w:rsidRPr="002C7225">
              <w:rPr>
                <w:rFonts w:ascii="Times New Roman" w:eastAsia="Times New Roman" w:hAnsi="Times New Roman" w:cs="Times New Roman"/>
                <w:sz w:val="20"/>
                <w:szCs w:val="20"/>
                <w:lang w:val="en-GB" w:eastAsia="sr-Latn-CS"/>
              </w:rPr>
              <w:t>06</w:t>
            </w:r>
            <w:r w:rsidRPr="002C7225">
              <w:rPr>
                <w:rFonts w:ascii="Times New Roman" w:eastAsia="Times New Roman" w:hAnsi="Times New Roman" w:cs="Times New Roman"/>
                <w:sz w:val="20"/>
                <w:szCs w:val="20"/>
                <w:lang w:val="sr-Cyrl-BA" w:eastAsia="sr-Latn-CS"/>
              </w:rPr>
              <w:t>.2007. (ЗИФ)</w:t>
            </w:r>
          </w:p>
          <w:p w14:paraId="4BE8AB4F"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17.07.2017.</w:t>
            </w:r>
            <w:r w:rsidRPr="002C7225">
              <w:rPr>
                <w:rFonts w:ascii="Times New Roman" w:eastAsia="Times New Roman" w:hAnsi="Times New Roman" w:cs="Times New Roman"/>
                <w:sz w:val="20"/>
                <w:szCs w:val="20"/>
                <w:lang w:val="sr-Cyrl-BA" w:eastAsia="sr-Latn-CS"/>
              </w:rPr>
              <w:t xml:space="preserve"> (ОМИФ)</w:t>
            </w:r>
          </w:p>
        </w:tc>
      </w:tr>
      <w:tr w:rsidR="001B7591" w:rsidRPr="004448F0" w14:paraId="02CA6A4E" w14:textId="77777777" w:rsidTr="007874B3">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0A58423" w14:textId="77777777" w:rsidR="001B7591" w:rsidRPr="0022401E" w:rsidRDefault="001B7591" w:rsidP="007874B3">
            <w:pPr>
              <w:spacing w:after="0" w:line="240" w:lineRule="auto"/>
              <w:ind w:firstLine="0"/>
              <w:rPr>
                <w:rFonts w:ascii="Times New Roman" w:hAnsi="Times New Roman" w:cs="Times New Roman"/>
                <w:sz w:val="20"/>
                <w:szCs w:val="20"/>
                <w:highlight w:val="yellow"/>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8CAF4E1" w14:textId="77777777" w:rsidR="001B7591" w:rsidRPr="0022401E"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lang w:val="sr-Cyrl-BA"/>
              </w:rPr>
            </w:pP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D211E20" w14:textId="77777777" w:rsidR="001B7591" w:rsidRPr="0022401E"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en-GB"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5A8D88EA" w14:textId="77777777" w:rsidR="001B7591" w:rsidRPr="0022401E"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Cyrl-BA" w:eastAsia="sr-Latn-CS"/>
              </w:rPr>
            </w:pPr>
          </w:p>
        </w:tc>
      </w:tr>
      <w:tr w:rsidR="001B7591" w:rsidRPr="004448F0" w14:paraId="0C910BA7" w14:textId="77777777" w:rsidTr="007874B3">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2A5CD807" w14:textId="77777777" w:rsidR="001B7591" w:rsidRPr="004448F0" w:rsidRDefault="001B7591" w:rsidP="007874B3">
            <w:pPr>
              <w:spacing w:after="0" w:line="240" w:lineRule="auto"/>
              <w:ind w:firstLine="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5</w:t>
            </w:r>
            <w:r w:rsidRPr="004448F0">
              <w:rPr>
                <w:rFonts w:ascii="Times New Roman" w:eastAsia="Times New Roman" w:hAnsi="Times New Roman" w:cs="Times New Roman"/>
                <w:sz w:val="20"/>
                <w:szCs w:val="20"/>
                <w:lang w:val="sr-Cyrl-BA" w:eastAsia="sr-Latn-CS"/>
              </w:rPr>
              <w:t>.</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6D84608"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proofErr w:type="spellStart"/>
            <w:r w:rsidRPr="004448F0">
              <w:rPr>
                <w:rFonts w:ascii="Times New Roman" w:eastAsia="Times New Roman" w:hAnsi="Times New Roman" w:cs="Times New Roman"/>
                <w:sz w:val="20"/>
                <w:szCs w:val="20"/>
                <w:lang w:val="sr-Cyrl-BA" w:eastAsia="sr-Latn-CS"/>
              </w:rPr>
              <w:t>Полара</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Бања Лука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7203884E"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09.10.2000.</w:t>
            </w:r>
          </w:p>
        </w:tc>
      </w:tr>
      <w:tr w:rsidR="001B7591" w:rsidRPr="004448F0" w14:paraId="13F6581C"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378CE20"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C886DE7"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w:t>
            </w:r>
            <w:r>
              <w:rPr>
                <w:rFonts w:ascii="Times New Roman" w:hAnsi="Times New Roman" w:cs="Times New Roman"/>
                <w:sz w:val="20"/>
                <w:szCs w:val="20"/>
                <w:lang w:val="sr-Latn-BA"/>
              </w:rPr>
              <w:t>2</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8ED0D4F"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w:t>
            </w:r>
            <w:r w:rsidRPr="004448F0">
              <w:rPr>
                <w:rFonts w:ascii="Times New Roman" w:eastAsia="Times New Roman" w:hAnsi="Times New Roman" w:cs="Times New Roman"/>
                <w:sz w:val="20"/>
                <w:szCs w:val="20"/>
                <w:lang w:val="en-GB" w:eastAsia="sr-Latn-CS"/>
              </w:rPr>
              <w:t>Adriatic Balanced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19247A1A"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19</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.2002.</w:t>
            </w:r>
            <w:r w:rsidRPr="004448F0">
              <w:rPr>
                <w:rFonts w:ascii="Times New Roman" w:eastAsia="Times New Roman" w:hAnsi="Times New Roman" w:cs="Times New Roman"/>
                <w:sz w:val="20"/>
                <w:szCs w:val="20"/>
                <w:lang w:val="en-GB" w:eastAsia="sr-Latn-CS"/>
              </w:rPr>
              <w:t xml:space="preserve"> (</w:t>
            </w:r>
            <w:r w:rsidRPr="004448F0">
              <w:rPr>
                <w:rFonts w:ascii="Times New Roman" w:eastAsia="Times New Roman" w:hAnsi="Times New Roman" w:cs="Times New Roman"/>
                <w:sz w:val="20"/>
                <w:szCs w:val="20"/>
                <w:lang w:val="sr-Cyrl-BA" w:eastAsia="sr-Latn-CS"/>
              </w:rPr>
              <w:t>ПИФ</w:t>
            </w:r>
            <w:r w:rsidRPr="004448F0">
              <w:rPr>
                <w:rFonts w:ascii="Times New Roman" w:eastAsia="Times New Roman" w:hAnsi="Times New Roman" w:cs="Times New Roman"/>
                <w:sz w:val="20"/>
                <w:szCs w:val="20"/>
                <w:lang w:val="en-GB" w:eastAsia="sr-Latn-CS"/>
              </w:rPr>
              <w:t>)</w:t>
            </w:r>
          </w:p>
          <w:p w14:paraId="276CE83A"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21.03.2008. (ЗИФ)</w:t>
            </w:r>
          </w:p>
          <w:p w14:paraId="1815B611"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26.04.2018. (ОАИФ)</w:t>
            </w:r>
          </w:p>
        </w:tc>
      </w:tr>
      <w:tr w:rsidR="001B7591" w:rsidRPr="004448F0" w14:paraId="6AA5402A"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C9EEAE8" w14:textId="77777777" w:rsidR="001B7591" w:rsidRPr="004448F0" w:rsidRDefault="001B7591" w:rsidP="007874B3">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7A6C416"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w:t>
            </w:r>
            <w:r>
              <w:rPr>
                <w:rFonts w:ascii="Times New Roman" w:hAnsi="Times New Roman" w:cs="Times New Roman"/>
                <w:sz w:val="20"/>
                <w:szCs w:val="20"/>
                <w:lang w:val="sr-Latn-BA"/>
              </w:rPr>
              <w:t>3</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3BD58EF"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Јахорина</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коин</w:t>
            </w:r>
            <w:proofErr w:type="spellEnd"/>
            <w:r w:rsidRPr="004448F0">
              <w:rPr>
                <w:rFonts w:ascii="Times New Roman" w:eastAsia="Times New Roman" w:hAnsi="Times New Roman" w:cs="Times New Roman"/>
                <w:sz w:val="20"/>
                <w:szCs w:val="20"/>
                <w:lang w:val="sr-Cyrl-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209939A"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04</w:t>
            </w:r>
            <w:r w:rsidRPr="004448F0">
              <w:rPr>
                <w:rFonts w:ascii="Times New Roman" w:eastAsia="Times New Roman" w:hAnsi="Times New Roman" w:cs="Times New Roman"/>
                <w:sz w:val="20"/>
                <w:szCs w:val="20"/>
                <w:lang w:val="sr-Cyrl-BA" w:eastAsia="sr-Latn-CS"/>
              </w:rPr>
              <w:t xml:space="preserve">.11.2002. </w:t>
            </w:r>
            <w:r w:rsidRPr="004448F0">
              <w:rPr>
                <w:rFonts w:ascii="Times New Roman" w:eastAsia="Times New Roman" w:hAnsi="Times New Roman" w:cs="Times New Roman"/>
                <w:sz w:val="20"/>
                <w:szCs w:val="20"/>
                <w:lang w:val="en-GB" w:eastAsia="sr-Latn-CS"/>
              </w:rPr>
              <w:t>(</w:t>
            </w:r>
            <w:r w:rsidRPr="004448F0">
              <w:rPr>
                <w:rFonts w:ascii="Times New Roman" w:eastAsia="Times New Roman" w:hAnsi="Times New Roman" w:cs="Times New Roman"/>
                <w:sz w:val="20"/>
                <w:szCs w:val="20"/>
                <w:lang w:val="sr-Cyrl-BA" w:eastAsia="sr-Latn-CS"/>
              </w:rPr>
              <w:t>ПИФ</w:t>
            </w:r>
            <w:r w:rsidRPr="004448F0">
              <w:rPr>
                <w:rFonts w:ascii="Times New Roman" w:eastAsia="Times New Roman" w:hAnsi="Times New Roman" w:cs="Times New Roman"/>
                <w:sz w:val="20"/>
                <w:szCs w:val="20"/>
                <w:lang w:val="en-GB" w:eastAsia="sr-Latn-CS"/>
              </w:rPr>
              <w:t>)</w:t>
            </w:r>
          </w:p>
          <w:p w14:paraId="54705F6C"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28</w:t>
            </w:r>
            <w:r w:rsidRPr="004448F0">
              <w:rPr>
                <w:rFonts w:ascii="Times New Roman" w:eastAsia="Times New Roman" w:hAnsi="Times New Roman" w:cs="Times New Roman"/>
                <w:sz w:val="20"/>
                <w:szCs w:val="20"/>
                <w:lang w:val="sr-Cyrl-BA" w:eastAsia="sr-Latn-CS"/>
              </w:rPr>
              <w:t>.12.2007. (ЗИФ)</w:t>
            </w:r>
          </w:p>
          <w:p w14:paraId="7609A253"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sr-Cyrl-BA" w:eastAsia="sr-Latn-CS"/>
              </w:rPr>
              <w:t>12.10.2018. (ОАИФ)</w:t>
            </w:r>
          </w:p>
        </w:tc>
      </w:tr>
      <w:tr w:rsidR="001B7591" w:rsidRPr="004448F0" w14:paraId="30EA8603"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tcPr>
          <w:p w14:paraId="609B6864" w14:textId="77777777" w:rsidR="001B7591" w:rsidRPr="004448F0" w:rsidRDefault="001B7591" w:rsidP="007874B3">
            <w:pPr>
              <w:spacing w:after="0" w:line="240" w:lineRule="auto"/>
              <w:ind w:firstLine="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6.</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4500BC10"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Назив друштва: </w:t>
            </w:r>
            <w:r w:rsidRPr="004448F0">
              <w:rPr>
                <w:rFonts w:ascii="Times New Roman" w:hAnsi="Times New Roman" w:cs="Times New Roman"/>
                <w:sz w:val="20"/>
                <w:szCs w:val="20"/>
                <w:lang w:val="sr-Cyrl-BA"/>
              </w:rPr>
              <w:t xml:space="preserve">ДУИФ </w:t>
            </w:r>
            <w:r w:rsidRPr="004448F0">
              <w:rPr>
                <w:rFonts w:ascii="Times New Roman" w:hAnsi="Times New Roman" w:cs="Times New Roman"/>
                <w:sz w:val="20"/>
                <w:szCs w:val="20"/>
              </w:rPr>
              <w:t>"WVP Fund Management"</w:t>
            </w:r>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Бања Лука</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vAlign w:val="bottom"/>
            <w:hideMark/>
          </w:tcPr>
          <w:p w14:paraId="483B95B1" w14:textId="77777777" w:rsidR="001B7591" w:rsidRPr="000E51E7"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4448F0">
              <w:rPr>
                <w:rFonts w:ascii="Times New Roman" w:eastAsia="Times New Roman" w:hAnsi="Times New Roman" w:cs="Times New Roman"/>
                <w:sz w:val="20"/>
                <w:szCs w:val="20"/>
                <w:lang w:val="sr-Cyrl-BA" w:eastAsia="sr-Latn-CS"/>
              </w:rPr>
              <w:t>03.06.2019. године</w:t>
            </w:r>
          </w:p>
        </w:tc>
      </w:tr>
      <w:tr w:rsidR="001B7591" w:rsidRPr="004448F0" w14:paraId="29BDD033"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3023EB58" w14:textId="77777777" w:rsidR="001B7591" w:rsidRPr="004448F0" w:rsidRDefault="001B7591" w:rsidP="007874B3">
            <w:pPr>
              <w:spacing w:after="0" w:line="240" w:lineRule="auto"/>
              <w:ind w:firstLine="0"/>
              <w:rPr>
                <w:rFonts w:ascii="Times New Roman" w:eastAsia="Times New Roman" w:hAnsi="Times New Roman" w:cs="Times New Roman"/>
                <w:sz w:val="20"/>
                <w:szCs w:val="20"/>
                <w:lang w:val="en-GB"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hideMark/>
          </w:tcPr>
          <w:p w14:paraId="6D086908"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sr-Cyrl-BA"/>
              </w:rPr>
              <w:t>1</w:t>
            </w:r>
            <w:r>
              <w:rPr>
                <w:rFonts w:ascii="Times New Roman" w:hAnsi="Times New Roman" w:cs="Times New Roman"/>
                <w:sz w:val="20"/>
                <w:szCs w:val="20"/>
                <w:lang w:val="sr-Latn-BA"/>
              </w:rPr>
              <w:t>4</w:t>
            </w:r>
            <w:r w:rsidRPr="004448F0">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6B23E7B" w14:textId="77777777" w:rsidR="001B7591" w:rsidRPr="004448F0"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w:t>
            </w:r>
            <w:r w:rsidRPr="004448F0">
              <w:rPr>
                <w:rFonts w:ascii="Times New Roman" w:hAnsi="Times New Roman"/>
                <w:sz w:val="20"/>
                <w:szCs w:val="20"/>
                <w:lang w:val="sr-Cyrl-CS"/>
              </w:rPr>
              <w:t xml:space="preserve"> „</w:t>
            </w:r>
            <w:r w:rsidRPr="004448F0">
              <w:rPr>
                <w:rFonts w:ascii="Times New Roman" w:hAnsi="Times New Roman"/>
                <w:sz w:val="20"/>
                <w:szCs w:val="20"/>
                <w:lang w:val="sr-Latn-BA"/>
              </w:rPr>
              <w:t>WVP Premium</w:t>
            </w:r>
            <w:r w:rsidRPr="004448F0">
              <w:rPr>
                <w:rFonts w:ascii="Times New Roman" w:hAnsi="Times New Roman"/>
                <w:sz w:val="20"/>
                <w:szCs w:val="20"/>
                <w:lang w:val="sr-Cyrl-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2F13E826"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 xml:space="preserve">18.09.2019. </w:t>
            </w:r>
            <w:r w:rsidRPr="004448F0">
              <w:rPr>
                <w:rFonts w:ascii="Times New Roman" w:eastAsia="Times New Roman" w:hAnsi="Times New Roman" w:cs="Times New Roman"/>
                <w:sz w:val="20"/>
                <w:szCs w:val="20"/>
                <w:lang w:val="sr-Cyrl-BA" w:eastAsia="sr-Latn-CS"/>
              </w:rPr>
              <w:t>(ОАИФ)</w:t>
            </w:r>
          </w:p>
        </w:tc>
      </w:tr>
      <w:tr w:rsidR="001B7591" w:rsidRPr="004448F0" w14:paraId="149274F5" w14:textId="77777777" w:rsidTr="007874B3">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1E8F88F" w14:textId="77777777" w:rsidR="001B7591" w:rsidRPr="004448F0" w:rsidRDefault="001B7591" w:rsidP="007874B3">
            <w:pPr>
              <w:spacing w:after="0" w:line="240" w:lineRule="auto"/>
              <w:ind w:firstLine="0"/>
              <w:rPr>
                <w:rFonts w:ascii="Times New Roman" w:eastAsia="Times New Roman" w:hAnsi="Times New Roman" w:cs="Times New Roman"/>
                <w:sz w:val="20"/>
                <w:szCs w:val="20"/>
                <w:lang w:val="en-GB"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11948375" w14:textId="77777777" w:rsidR="001B7591" w:rsidRPr="004448F0"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w:t>
            </w:r>
            <w:r>
              <w:rPr>
                <w:rFonts w:ascii="Times New Roman" w:hAnsi="Times New Roman" w:cs="Times New Roman"/>
                <w:sz w:val="20"/>
                <w:szCs w:val="20"/>
                <w:lang w:val="sr-Latn-BA"/>
              </w:rPr>
              <w:t>5</w:t>
            </w:r>
            <w:r>
              <w:rPr>
                <w:rFonts w:ascii="Times New Roman" w:hAnsi="Times New Roman" w:cs="Times New Roman"/>
                <w:sz w:val="20"/>
                <w:szCs w:val="20"/>
                <w:lang w:val="sr-Cyrl-BA"/>
              </w:rPr>
              <w:t>.</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0983DC93" w14:textId="77777777" w:rsidR="001B7591" w:rsidRPr="002C7225" w:rsidRDefault="001B7591" w:rsidP="007874B3">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sr-Cyrl-BA" w:eastAsia="sr-Latn-CS"/>
              </w:rPr>
              <w:t>Отворени мјешовити инвестициони фонд са јавном понудом „WVP BALANCED“.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22B1A84E" w14:textId="77777777" w:rsidR="001B7591" w:rsidRPr="002C7225" w:rsidRDefault="001B7591" w:rsidP="007874B3">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2C7225">
              <w:rPr>
                <w:rFonts w:ascii="Times New Roman" w:eastAsia="Times New Roman" w:hAnsi="Times New Roman" w:cs="Times New Roman"/>
                <w:sz w:val="20"/>
                <w:szCs w:val="20"/>
                <w:lang w:val="en-GB" w:eastAsia="sr-Latn-CS"/>
              </w:rPr>
              <w:t>18.03.2022. (OMIF)</w:t>
            </w:r>
          </w:p>
        </w:tc>
      </w:tr>
    </w:tbl>
    <w:p w14:paraId="2C194E76" w14:textId="5725192B" w:rsidR="006C5AE6" w:rsidRPr="00EC6422" w:rsidRDefault="00405E80" w:rsidP="006B6E0C">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lang w:val="sr-Cyrl-BA"/>
        </w:rPr>
        <w:lastRenderedPageBreak/>
        <w:t xml:space="preserve">Табела </w:t>
      </w:r>
      <w:r w:rsidR="00D3478F"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00D3478F" w:rsidRPr="00EC6422">
        <w:rPr>
          <w:rFonts w:ascii="Times New Roman" w:hAnsi="Times New Roman"/>
          <w:sz w:val="24"/>
          <w:lang w:val="sr-Cyrl-BA"/>
        </w:rPr>
        <w:fldChar w:fldCharType="separate"/>
      </w:r>
      <w:r w:rsidR="00C64B5B">
        <w:rPr>
          <w:rFonts w:ascii="Times New Roman" w:hAnsi="Times New Roman"/>
          <w:noProof/>
          <w:sz w:val="24"/>
          <w:lang w:val="sr-Cyrl-BA"/>
        </w:rPr>
        <w:t>14</w:t>
      </w:r>
      <w:r w:rsidR="00D3478F"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proofErr w:type="spellStart"/>
      <w:r w:rsidR="006C5AE6" w:rsidRPr="00EC6422">
        <w:rPr>
          <w:rFonts w:ascii="Times New Roman" w:hAnsi="Times New Roman"/>
          <w:b w:val="0"/>
          <w:sz w:val="24"/>
          <w:szCs w:val="24"/>
          <w:lang w:val="sr-Cyrl-BA"/>
        </w:rPr>
        <w:t>Преглед</w:t>
      </w:r>
      <w:proofErr w:type="spellEnd"/>
      <w:r w:rsidR="006C5AE6" w:rsidRPr="00EC6422">
        <w:rPr>
          <w:rFonts w:ascii="Times New Roman" w:hAnsi="Times New Roman"/>
          <w:b w:val="0"/>
          <w:sz w:val="24"/>
          <w:szCs w:val="24"/>
          <w:lang w:val="sr-Cyrl-BA"/>
        </w:rPr>
        <w:t xml:space="preserve"> друштава за управљање инвестиционим фондовима и инвестиционих фондова на дан 31.12.</w:t>
      </w:r>
      <w:r w:rsidR="001B7591">
        <w:rPr>
          <w:rFonts w:ascii="Times New Roman" w:hAnsi="Times New Roman"/>
          <w:b w:val="0"/>
          <w:sz w:val="24"/>
          <w:szCs w:val="24"/>
          <w:lang w:val="sr-Cyrl-BA"/>
        </w:rPr>
        <w:t>2023</w:t>
      </w:r>
      <w:r w:rsidR="006C5AE6" w:rsidRPr="00EC6422">
        <w:rPr>
          <w:rFonts w:ascii="Times New Roman" w:hAnsi="Times New Roman"/>
          <w:b w:val="0"/>
          <w:sz w:val="24"/>
          <w:szCs w:val="24"/>
          <w:lang w:val="sr-Cyrl-BA"/>
        </w:rPr>
        <w:t>. године</w:t>
      </w:r>
    </w:p>
    <w:p w14:paraId="751A5A3D" w14:textId="276E2BD6" w:rsidR="001B7591" w:rsidRPr="00D6776C" w:rsidRDefault="001B7591" w:rsidP="001B7591">
      <w:pPr>
        <w:spacing w:after="0" w:line="240" w:lineRule="auto"/>
        <w:ind w:firstLine="567"/>
        <w:rPr>
          <w:highlight w:val="yellow"/>
          <w:lang w:val="sr-Latn-BA"/>
        </w:rPr>
      </w:pPr>
      <w:r w:rsidRPr="0097023A">
        <w:rPr>
          <w:lang w:val="sr-Cyrl-BA"/>
        </w:rPr>
        <w:t xml:space="preserve">Дозволу за управљање има шест друштава за управљање. Што се тиче власничке структуре друштава за управљање, једно друштво је у власништву једног страног правног лица, једно је у власништву једног домаћег физичког лица, једно је у власништву страних правних лица, три друштва су </w:t>
      </w:r>
      <w:r w:rsidR="00C547C0">
        <w:rPr>
          <w:lang w:val="sr-Cyrl-BA"/>
        </w:rPr>
        <w:t xml:space="preserve">у </w:t>
      </w:r>
      <w:r w:rsidRPr="0097023A">
        <w:rPr>
          <w:lang w:val="sr-Cyrl-BA"/>
        </w:rPr>
        <w:t>мјешовитом власништву домаћих и страних физичких и правних лица</w:t>
      </w:r>
      <w:r>
        <w:rPr>
          <w:lang w:val="sr-Cyrl-BA"/>
        </w:rPr>
        <w:t>.</w:t>
      </w:r>
    </w:p>
    <w:p w14:paraId="447BA3BE" w14:textId="0FA2BA60" w:rsidR="001B7591" w:rsidRDefault="001B7591" w:rsidP="001B7591">
      <w:pPr>
        <w:spacing w:after="0" w:line="240" w:lineRule="auto"/>
        <w:ind w:firstLine="567"/>
        <w:rPr>
          <w:lang w:val="sr-Cyrl-BA"/>
        </w:rPr>
      </w:pPr>
      <w:r w:rsidRPr="0097023A">
        <w:rPr>
          <w:lang w:val="sr-Cyrl-BA"/>
        </w:rPr>
        <w:t xml:space="preserve">У </w:t>
      </w:r>
      <w:r w:rsidR="00652230">
        <w:rPr>
          <w:lang w:val="sr-Cyrl-BA"/>
        </w:rPr>
        <w:t>2023. години</w:t>
      </w:r>
      <w:r w:rsidRPr="0097023A">
        <w:rPr>
          <w:lang w:val="sr-Cyrl-BA"/>
        </w:rPr>
        <w:t xml:space="preserve"> Комисија је донијела </w:t>
      </w:r>
      <w:r w:rsidR="00C547C0">
        <w:rPr>
          <w:lang w:val="sr-Cyrl-BA"/>
        </w:rPr>
        <w:t>р</w:t>
      </w:r>
      <w:r w:rsidRPr="0097023A">
        <w:rPr>
          <w:lang w:val="sr-Latn-BA"/>
        </w:rPr>
        <w:t>јешење којим се ДУИФ „</w:t>
      </w:r>
      <w:r>
        <w:rPr>
          <w:lang w:val="sr-Latn-BA"/>
        </w:rPr>
        <w:t>Management Solutions</w:t>
      </w:r>
      <w:r w:rsidRPr="0097023A">
        <w:rPr>
          <w:lang w:val="sr-Latn-BA"/>
        </w:rPr>
        <w:t>“</w:t>
      </w:r>
      <w:r>
        <w:rPr>
          <w:lang w:val="sr-Cyrl-BA"/>
        </w:rPr>
        <w:t xml:space="preserve"> </w:t>
      </w:r>
      <w:r w:rsidRPr="0097023A">
        <w:rPr>
          <w:lang w:val="sr-Latn-BA"/>
        </w:rPr>
        <w:t xml:space="preserve">д.о.о. Бања Лука </w:t>
      </w:r>
      <w:r>
        <w:rPr>
          <w:lang w:val="sr-Cyrl-BA"/>
        </w:rPr>
        <w:t>даје дозволе за оснивање и управљање ОАИФ „</w:t>
      </w:r>
      <w:r w:rsidRPr="001B7591">
        <w:rPr>
          <w:lang w:val="sr-Cyrl-BA"/>
        </w:rPr>
        <w:t>MS</w:t>
      </w:r>
      <w:r>
        <w:rPr>
          <w:lang w:val="sr-Latn-BA"/>
        </w:rPr>
        <w:t xml:space="preserve"> Global Equity“</w:t>
      </w:r>
      <w:r>
        <w:rPr>
          <w:lang w:val="sr-Cyrl-BA"/>
        </w:rPr>
        <w:t>.</w:t>
      </w:r>
      <w:r w:rsidR="00652230">
        <w:rPr>
          <w:lang w:val="sr-Cyrl-BA"/>
        </w:rPr>
        <w:t xml:space="preserve"> </w:t>
      </w:r>
      <w:r>
        <w:rPr>
          <w:lang w:val="sr-Cyrl-BA"/>
        </w:rPr>
        <w:t xml:space="preserve">Такође, Комисија је донијела рјешење којим се </w:t>
      </w:r>
      <w:r w:rsidR="00652230">
        <w:rPr>
          <w:lang w:val="sr-Cyrl-BA"/>
        </w:rPr>
        <w:t>овом друштву</w:t>
      </w:r>
      <w:r w:rsidRPr="0097023A">
        <w:rPr>
          <w:lang w:val="sr-Latn-BA"/>
        </w:rPr>
        <w:t xml:space="preserve"> </w:t>
      </w:r>
      <w:r>
        <w:rPr>
          <w:lang w:val="sr-Cyrl-BA"/>
        </w:rPr>
        <w:t xml:space="preserve">даје дозволе за обављање дјелатности оснивања и управљања алтернативним инвестиционим фондовима те је дата сагласност на измјене и допуне одлуке о оснивању и измјене и допуне правила пословања наведеног друштва. </w:t>
      </w:r>
    </w:p>
    <w:p w14:paraId="4633C488" w14:textId="447FB461" w:rsidR="001B7591" w:rsidRPr="00B6101C" w:rsidRDefault="00652230" w:rsidP="001B7591">
      <w:pPr>
        <w:spacing w:after="0" w:line="240" w:lineRule="auto"/>
        <w:ind w:firstLine="567"/>
        <w:rPr>
          <w:highlight w:val="yellow"/>
          <w:lang w:val="sr-Cyrl-BA"/>
        </w:rPr>
      </w:pPr>
      <w:r>
        <w:rPr>
          <w:lang w:val="sr-Cyrl-BA"/>
        </w:rPr>
        <w:t xml:space="preserve">У 2023. години Комисија је донијела </w:t>
      </w:r>
      <w:r w:rsidR="001B7591">
        <w:rPr>
          <w:lang w:val="sr-Cyrl-BA"/>
        </w:rPr>
        <w:t>рјешење којим се даје сагласност на измјене статута ДУИФ „</w:t>
      </w:r>
      <w:proofErr w:type="spellStart"/>
      <w:r w:rsidR="001B7591">
        <w:rPr>
          <w:lang w:val="sr-Cyrl-BA"/>
        </w:rPr>
        <w:t>Полара</w:t>
      </w:r>
      <w:proofErr w:type="spellEnd"/>
      <w:r w:rsidR="001B7591">
        <w:rPr>
          <w:lang w:val="sr-Cyrl-BA"/>
        </w:rPr>
        <w:t xml:space="preserve"> </w:t>
      </w:r>
      <w:proofErr w:type="spellStart"/>
      <w:r w:rsidR="001B7591">
        <w:rPr>
          <w:lang w:val="sr-Cyrl-BA"/>
        </w:rPr>
        <w:t>инвест</w:t>
      </w:r>
      <w:proofErr w:type="spellEnd"/>
      <w:r w:rsidR="001B7591">
        <w:rPr>
          <w:lang w:val="sr-Cyrl-BA"/>
        </w:rPr>
        <w:t xml:space="preserve">“ </w:t>
      </w:r>
      <w:proofErr w:type="spellStart"/>
      <w:r w:rsidR="001B7591">
        <w:rPr>
          <w:lang w:val="sr-Cyrl-BA"/>
        </w:rPr>
        <w:t>а.д</w:t>
      </w:r>
      <w:proofErr w:type="spellEnd"/>
      <w:r w:rsidR="001B7591">
        <w:rPr>
          <w:lang w:val="sr-Cyrl-BA"/>
        </w:rPr>
        <w:t>. Бања Лука.</w:t>
      </w:r>
      <w:r>
        <w:rPr>
          <w:lang w:val="sr-Cyrl-BA"/>
        </w:rPr>
        <w:t xml:space="preserve"> Поред тога, д</w:t>
      </w:r>
      <w:r w:rsidR="001B7591">
        <w:rPr>
          <w:lang w:val="sr-Cyrl-BA"/>
        </w:rPr>
        <w:t>онесено је рјешење којим се захтјев ДУИФ „</w:t>
      </w:r>
      <w:r w:rsidR="001B7591">
        <w:rPr>
          <w:lang w:val="sr-Latn-BA"/>
        </w:rPr>
        <w:t xml:space="preserve">WVP Fund Management“ </w:t>
      </w:r>
      <w:proofErr w:type="spellStart"/>
      <w:r w:rsidR="001B7591">
        <w:rPr>
          <w:lang w:val="sr-Cyrl-BA"/>
        </w:rPr>
        <w:t>а.д</w:t>
      </w:r>
      <w:proofErr w:type="spellEnd"/>
      <w:r w:rsidR="001B7591">
        <w:rPr>
          <w:lang w:val="sr-Cyrl-BA"/>
        </w:rPr>
        <w:t xml:space="preserve">. Бања Лука за обављање додатних дјелатности одбија као неоснован. Истом Друштву издато је рјешење са налогом да поднесе захтјев за давање сагласности на измјене и допуне оснивачког акта. Донесено је рјешење којим наведеном друштву дата сагласност на измјене уговора о оснивању. </w:t>
      </w:r>
    </w:p>
    <w:p w14:paraId="4B077C82" w14:textId="048CD3B4" w:rsidR="001B7591" w:rsidRPr="00D6776C" w:rsidRDefault="00652230" w:rsidP="001B7591">
      <w:pPr>
        <w:spacing w:after="0" w:line="240" w:lineRule="auto"/>
        <w:ind w:firstLine="567"/>
        <w:rPr>
          <w:rFonts w:eastAsia="Times New Roman"/>
          <w:highlight w:val="yellow"/>
          <w:lang w:val="sr-Cyrl-BA"/>
        </w:rPr>
      </w:pPr>
      <w:r>
        <w:rPr>
          <w:rFonts w:eastAsia="Times New Roman"/>
          <w:lang w:val="sr-Cyrl-BA"/>
        </w:rPr>
        <w:t xml:space="preserve">У 2023. години </w:t>
      </w:r>
      <w:r w:rsidR="001B7591" w:rsidRPr="0097023A">
        <w:rPr>
          <w:rFonts w:eastAsia="Times New Roman"/>
          <w:lang w:val="sr-Cyrl-BA"/>
        </w:rPr>
        <w:t xml:space="preserve">Комисија је донијела </w:t>
      </w:r>
      <w:r w:rsidR="00C547C0">
        <w:rPr>
          <w:rFonts w:eastAsia="Times New Roman"/>
          <w:lang w:val="sr-Cyrl-BA"/>
        </w:rPr>
        <w:t>р</w:t>
      </w:r>
      <w:r w:rsidR="001B7591" w:rsidRPr="0097023A">
        <w:rPr>
          <w:rFonts w:eastAsia="Times New Roman"/>
          <w:lang w:val="sr-Cyrl-BA"/>
        </w:rPr>
        <w:t xml:space="preserve">јешење којим се </w:t>
      </w:r>
      <w:r w:rsidR="001B7591">
        <w:rPr>
          <w:rFonts w:eastAsia="Times New Roman"/>
          <w:lang w:val="sr-Cyrl-BA"/>
        </w:rPr>
        <w:t>ЗИФ „</w:t>
      </w:r>
      <w:proofErr w:type="spellStart"/>
      <w:r w:rsidR="001B7591">
        <w:rPr>
          <w:rFonts w:eastAsia="Times New Roman"/>
          <w:lang w:val="sr-Cyrl-BA"/>
        </w:rPr>
        <w:t>Унионинвест</w:t>
      </w:r>
      <w:proofErr w:type="spellEnd"/>
      <w:r w:rsidR="001B7591">
        <w:rPr>
          <w:rFonts w:eastAsia="Times New Roman"/>
          <w:lang w:val="sr-Cyrl-BA"/>
        </w:rPr>
        <w:t xml:space="preserve">“ </w:t>
      </w:r>
      <w:proofErr w:type="spellStart"/>
      <w:r w:rsidR="001B7591">
        <w:rPr>
          <w:rFonts w:eastAsia="Times New Roman"/>
          <w:lang w:val="sr-Cyrl-BA"/>
        </w:rPr>
        <w:t>а.д</w:t>
      </w:r>
      <w:proofErr w:type="spellEnd"/>
      <w:r w:rsidR="001B7591">
        <w:rPr>
          <w:rFonts w:eastAsia="Times New Roman"/>
          <w:lang w:val="sr-Cyrl-BA"/>
        </w:rPr>
        <w:t>. Бијељина брише из регистра инвестиционих фондова, због ликвидације фонда.</w:t>
      </w:r>
      <w:r w:rsidR="001B7591" w:rsidRPr="00D6776C">
        <w:rPr>
          <w:rFonts w:eastAsia="Times New Roman"/>
          <w:highlight w:val="yellow"/>
          <w:lang w:val="sr-Cyrl-BA"/>
        </w:rPr>
        <w:t xml:space="preserve"> </w:t>
      </w:r>
    </w:p>
    <w:p w14:paraId="79405EAA" w14:textId="7D9E99DC" w:rsidR="001B7591" w:rsidRDefault="001B7591" w:rsidP="001B7591">
      <w:pPr>
        <w:spacing w:after="0" w:line="240" w:lineRule="auto"/>
        <w:ind w:firstLine="567"/>
        <w:rPr>
          <w:lang w:val="sr-Cyrl-BA"/>
        </w:rPr>
      </w:pPr>
      <w:r w:rsidRPr="0088557F">
        <w:rPr>
          <w:lang w:val="sr-Cyrl-BA"/>
        </w:rPr>
        <w:t xml:space="preserve">На посљедњи дан </w:t>
      </w:r>
      <w:r w:rsidR="00652230">
        <w:rPr>
          <w:lang w:val="sr-Cyrl-BA"/>
        </w:rPr>
        <w:t>2023. године</w:t>
      </w:r>
      <w:r w:rsidRPr="0088557F">
        <w:rPr>
          <w:lang w:val="sr-Cyrl-BA"/>
        </w:rPr>
        <w:t xml:space="preserve"> регистровано је укупно 1</w:t>
      </w:r>
      <w:r w:rsidRPr="0088557F">
        <w:rPr>
          <w:lang w:val="sr-Latn-BA"/>
        </w:rPr>
        <w:t>5</w:t>
      </w:r>
      <w:r w:rsidRPr="0088557F">
        <w:rPr>
          <w:lang w:val="sr-Cyrl-BA"/>
        </w:rPr>
        <w:t xml:space="preserve"> инвестиционих фондова, </w:t>
      </w:r>
      <w:r>
        <w:rPr>
          <w:lang w:val="sr-Cyrl-BA"/>
        </w:rPr>
        <w:t xml:space="preserve">сви фондови су </w:t>
      </w:r>
      <w:r w:rsidRPr="0088557F">
        <w:rPr>
          <w:lang w:val="sr-Cyrl-BA"/>
        </w:rPr>
        <w:t>отворени инвестициони фондов</w:t>
      </w:r>
      <w:r>
        <w:rPr>
          <w:lang w:val="sr-Cyrl-BA"/>
        </w:rPr>
        <w:t>и</w:t>
      </w:r>
      <w:r w:rsidRPr="0088557F">
        <w:rPr>
          <w:lang w:val="sr-Cyrl-BA"/>
        </w:rPr>
        <w:t xml:space="preserve"> (</w:t>
      </w:r>
      <w:r>
        <w:rPr>
          <w:lang w:val="sr-Cyrl-BA"/>
        </w:rPr>
        <w:t>10</w:t>
      </w:r>
      <w:r w:rsidRPr="0088557F">
        <w:rPr>
          <w:lang w:val="sr-Cyrl-BA"/>
        </w:rPr>
        <w:t xml:space="preserve"> акцијских и 5 мјешовитих инвестиционих фондова).</w:t>
      </w:r>
    </w:p>
    <w:p w14:paraId="357C9EFD" w14:textId="04248D9E" w:rsidR="001B7591" w:rsidRDefault="00652230" w:rsidP="001B7591">
      <w:pPr>
        <w:spacing w:after="0" w:line="240" w:lineRule="auto"/>
        <w:ind w:firstLine="567"/>
        <w:rPr>
          <w:lang w:val="sr-Cyrl-BA"/>
        </w:rPr>
      </w:pPr>
      <w:r>
        <w:rPr>
          <w:lang w:val="sr-Cyrl-BA"/>
        </w:rPr>
        <w:t xml:space="preserve">У 2323. години </w:t>
      </w:r>
      <w:r w:rsidR="001B7591">
        <w:rPr>
          <w:lang w:val="sr-Cyrl-BA"/>
        </w:rPr>
        <w:t>Комисија је ставила ван снаге три рјешења којима су блокирана гласачка права и наложено је брисање забране права гласа.</w:t>
      </w:r>
    </w:p>
    <w:p w14:paraId="307A070D" w14:textId="29A24EEC"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Дозволу</w:t>
      </w:r>
      <w:r w:rsidRPr="00EC6422">
        <w:rPr>
          <w:lang w:val="sr-Cyrl-BA"/>
        </w:rPr>
        <w:t xml:space="preserve"> </w:t>
      </w:r>
      <w:r w:rsidRPr="00EC6422">
        <w:rPr>
          <w:b/>
          <w:lang w:val="sr-Cyrl-BA"/>
        </w:rPr>
        <w:t>на именовање чланова управе друштва за управљање</w:t>
      </w:r>
      <w:r w:rsidRPr="00EC6422">
        <w:rPr>
          <w:lang w:val="sr-Cyrl-BA"/>
        </w:rPr>
        <w:t>, Комисија издаје на основу члана 27. Закона о инвестиционим фондовима, те према условима и поступку предвиђеним Правилником о условима и поступку издавања дозволе за обављање функције члана управног одбора друштва за управљање инвестиционим фондовима.</w:t>
      </w:r>
    </w:p>
    <w:p w14:paraId="546D395D" w14:textId="5397D085" w:rsidR="00434025" w:rsidRDefault="00397706" w:rsidP="00652230">
      <w:pPr>
        <w:spacing w:after="0" w:line="240" w:lineRule="auto"/>
        <w:ind w:firstLine="567"/>
        <w:rPr>
          <w:lang w:val="sr-Cyrl-BA"/>
        </w:rPr>
      </w:pPr>
      <w:r w:rsidRPr="001F0CAD">
        <w:rPr>
          <w:lang w:val="sr-Cyrl-BA"/>
        </w:rPr>
        <w:t xml:space="preserve">У току извјештајног периода </w:t>
      </w:r>
      <w:r w:rsidR="00652230" w:rsidRPr="001F0CAD">
        <w:rPr>
          <w:lang w:val="sr-Cyrl-BA"/>
        </w:rPr>
        <w:t xml:space="preserve">Комисија за хартије од вриједности је издала </w:t>
      </w:r>
      <w:r w:rsidR="00652230">
        <w:rPr>
          <w:lang w:val="sr-Cyrl-BA"/>
        </w:rPr>
        <w:t>седам</w:t>
      </w:r>
      <w:r w:rsidR="00652230" w:rsidRPr="001F0CAD">
        <w:rPr>
          <w:lang w:val="sr-Cyrl-BA"/>
        </w:rPr>
        <w:t xml:space="preserve"> </w:t>
      </w:r>
      <w:r w:rsidR="00652230">
        <w:rPr>
          <w:lang w:val="sr-Cyrl-BA"/>
        </w:rPr>
        <w:t xml:space="preserve">дозвола </w:t>
      </w:r>
      <w:r w:rsidR="00652230" w:rsidRPr="00652230">
        <w:rPr>
          <w:rFonts w:eastAsia="Times New Roman"/>
          <w:lang w:val="sr-Latn-BA"/>
        </w:rPr>
        <w:t>за</w:t>
      </w:r>
      <w:r w:rsidR="00652230">
        <w:rPr>
          <w:lang w:val="sr-Cyrl-BA"/>
        </w:rPr>
        <w:t xml:space="preserve"> именовање члана управног одбора друштва</w:t>
      </w:r>
      <w:r w:rsidR="00C547C0">
        <w:rPr>
          <w:lang w:val="sr-Cyrl-BA"/>
        </w:rPr>
        <w:t xml:space="preserve"> за управљање инвестиционим фондовима</w:t>
      </w:r>
      <w:r w:rsidR="00434025">
        <w:rPr>
          <w:lang w:val="sr-Cyrl-BA"/>
        </w:rPr>
        <w:t>.</w:t>
      </w:r>
    </w:p>
    <w:p w14:paraId="7D3E9519" w14:textId="45B88D06" w:rsidR="00434025" w:rsidRPr="00EC6422" w:rsidRDefault="00434025" w:rsidP="006B6E0C">
      <w:pPr>
        <w:pStyle w:val="ListParagraph"/>
        <w:numPr>
          <w:ilvl w:val="0"/>
          <w:numId w:val="7"/>
        </w:numPr>
        <w:tabs>
          <w:tab w:val="left" w:pos="851"/>
        </w:tabs>
        <w:spacing w:after="0" w:line="240" w:lineRule="auto"/>
        <w:ind w:left="0" w:firstLine="567"/>
        <w:contextualSpacing w:val="0"/>
        <w:rPr>
          <w:b/>
          <w:lang w:val="sr-Cyrl-BA"/>
        </w:rPr>
      </w:pPr>
      <w:r w:rsidRPr="00EC6422">
        <w:rPr>
          <w:b/>
          <w:lang w:val="sr-Cyrl-BA"/>
        </w:rPr>
        <w:t xml:space="preserve">Дозволу за статусне промјене друштвима за управљање инвестиционим фондовима и инвестиционим фондовима, </w:t>
      </w:r>
      <w:r w:rsidRPr="00EC6422">
        <w:rPr>
          <w:lang w:val="sr-Cyrl-BA"/>
        </w:rPr>
        <w:t>Комисија</w:t>
      </w:r>
      <w:r w:rsidR="00C547C0">
        <w:rPr>
          <w:lang w:val="sr-Cyrl-BA"/>
        </w:rPr>
        <w:t xml:space="preserve"> </w:t>
      </w:r>
      <w:r w:rsidRPr="00EC6422">
        <w:rPr>
          <w:lang w:val="sr-Cyrl-BA"/>
        </w:rPr>
        <w:t>издаје у складу са одредбама члана 18. Закона о инвестиционим фондовима, те Правилником о издавању дозволе за пословање и статусне промјене друштва за управљање инвестиционим фондовима, који је нови подзаконски акт у примјени.</w:t>
      </w:r>
    </w:p>
    <w:p w14:paraId="64EAEAFF" w14:textId="3064D5E1" w:rsidR="00434025" w:rsidRPr="00EC6422" w:rsidRDefault="00397706" w:rsidP="006B6E0C">
      <w:pPr>
        <w:spacing w:after="0" w:line="240" w:lineRule="auto"/>
        <w:ind w:firstLine="567"/>
        <w:rPr>
          <w:lang w:val="sr-Cyrl-BA"/>
        </w:rPr>
      </w:pPr>
      <w:r w:rsidRPr="001F0CAD">
        <w:rPr>
          <w:lang w:val="sr-Cyrl-BA"/>
        </w:rPr>
        <w:t>У току извјештајног периода</w:t>
      </w:r>
      <w:r>
        <w:rPr>
          <w:lang w:val="sr-Cyrl-BA"/>
        </w:rPr>
        <w:t xml:space="preserve"> </w:t>
      </w:r>
      <w:r w:rsidR="00652230">
        <w:rPr>
          <w:rFonts w:eastAsia="Times New Roman"/>
          <w:lang w:val="sr-Cyrl-BA"/>
        </w:rPr>
        <w:t xml:space="preserve">није било поступака </w:t>
      </w:r>
      <w:proofErr w:type="spellStart"/>
      <w:r w:rsidR="00652230">
        <w:rPr>
          <w:rFonts w:eastAsia="Times New Roman"/>
          <w:lang w:val="sr-Cyrl-BA"/>
        </w:rPr>
        <w:t>пред</w:t>
      </w:r>
      <w:proofErr w:type="spellEnd"/>
      <w:r w:rsidR="00652230">
        <w:rPr>
          <w:rFonts w:eastAsia="Times New Roman"/>
          <w:lang w:val="sr-Cyrl-BA"/>
        </w:rPr>
        <w:t xml:space="preserve"> Комисијом по овом основу</w:t>
      </w:r>
      <w:r w:rsidR="00434025" w:rsidRPr="00EC6422">
        <w:rPr>
          <w:lang w:val="sr-Cyrl-BA"/>
        </w:rPr>
        <w:t>.</w:t>
      </w:r>
    </w:p>
    <w:p w14:paraId="23462FB3" w14:textId="540708C1"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 xml:space="preserve">Одобрење на </w:t>
      </w:r>
      <w:proofErr w:type="spellStart"/>
      <w:r w:rsidRPr="00EC6422">
        <w:rPr>
          <w:b/>
          <w:lang w:val="sr-Cyrl-BA"/>
        </w:rPr>
        <w:t>пренос</w:t>
      </w:r>
      <w:proofErr w:type="spellEnd"/>
      <w:r w:rsidRPr="00EC6422">
        <w:rPr>
          <w:b/>
          <w:lang w:val="sr-Cyrl-BA"/>
        </w:rPr>
        <w:t xml:space="preserve"> административних послова из члана 23. Закона о инвестиционим пословима на трећа лица</w:t>
      </w:r>
      <w:r w:rsidRPr="00EC6422">
        <w:rPr>
          <w:lang w:val="sr-Cyrl-BA"/>
        </w:rPr>
        <w:t xml:space="preserve">, Комисија издаје у складу са чланом 24. Закона о инвестиционим фондовима, а према поступку прописаном Правилником о поступку и врсти послова које друштво за управљање може пренијети на треће лице и </w:t>
      </w:r>
      <w:r w:rsidRPr="00EC6422">
        <w:rPr>
          <w:lang w:val="sr-Cyrl-BA"/>
        </w:rPr>
        <w:lastRenderedPageBreak/>
        <w:t xml:space="preserve">начину </w:t>
      </w:r>
      <w:proofErr w:type="spellStart"/>
      <w:r w:rsidRPr="00EC6422">
        <w:rPr>
          <w:lang w:val="sr-Cyrl-BA"/>
        </w:rPr>
        <w:t>преноса</w:t>
      </w:r>
      <w:proofErr w:type="spellEnd"/>
      <w:r w:rsidRPr="00EC6422">
        <w:rPr>
          <w:lang w:val="sr-Cyrl-BA"/>
        </w:rPr>
        <w:t xml:space="preserve"> послова управљања инвестиционим фондом на друго друштво за управљање.</w:t>
      </w:r>
    </w:p>
    <w:p w14:paraId="56A0B18E" w14:textId="08CC0711" w:rsidR="00434025" w:rsidRPr="00EC6422" w:rsidRDefault="00652230" w:rsidP="006B6E0C">
      <w:pPr>
        <w:spacing w:after="0" w:line="240" w:lineRule="auto"/>
        <w:ind w:firstLine="567"/>
        <w:rPr>
          <w:lang w:val="sr-Cyrl-BA"/>
        </w:rPr>
      </w:pPr>
      <w:r w:rsidRPr="001F0CAD">
        <w:rPr>
          <w:lang w:val="sr-Cyrl-BA"/>
        </w:rPr>
        <w:t>У досадашњем периоду, друштва за управљање су на трећа лица углавном преносила послове вођења пословних књига и састављања финансијских извјештаја. У току извјештајног периода није било таквих захтјева</w:t>
      </w:r>
      <w:r w:rsidR="00434025">
        <w:rPr>
          <w:lang w:val="sr-Cyrl-BA"/>
        </w:rPr>
        <w:t>.</w:t>
      </w:r>
    </w:p>
    <w:p w14:paraId="6DC87205"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Сагласности инвестиционим фондовима на проспект и статут</w:t>
      </w:r>
      <w:r w:rsidRPr="00EC6422">
        <w:rPr>
          <w:lang w:val="sr-Cyrl-BA"/>
        </w:rPr>
        <w:t>, као и на накнадне измјене тих аката, Комисија издаје у складу са одредбама чланова 61, 91, 105, 142. и 217. Закона о инвестиционим фондовима, те  Правилника о условима и поступку емисије хартија од вриједности.</w:t>
      </w:r>
    </w:p>
    <w:p w14:paraId="5546CB99" w14:textId="4601A3A6" w:rsidR="007232BF" w:rsidRPr="00397706" w:rsidRDefault="00397706" w:rsidP="00652230">
      <w:pPr>
        <w:spacing w:after="0" w:line="240" w:lineRule="auto"/>
        <w:ind w:firstLine="567"/>
        <w:rPr>
          <w:lang w:val="sr-Cyrl-BA"/>
        </w:rPr>
      </w:pPr>
      <w:r w:rsidRPr="00397706">
        <w:rPr>
          <w:lang w:val="sr-Cyrl-BA"/>
        </w:rPr>
        <w:t xml:space="preserve">У </w:t>
      </w:r>
      <w:r w:rsidR="00652230">
        <w:rPr>
          <w:lang w:val="sr-Cyrl-BA"/>
        </w:rPr>
        <w:t>2023. години донесена су два рјешења којима се ДУИФ „</w:t>
      </w:r>
      <w:r w:rsidR="00652230">
        <w:rPr>
          <w:lang w:val="sr-Latn-BA"/>
        </w:rPr>
        <w:t xml:space="preserve">Management Solutions“ </w:t>
      </w:r>
      <w:proofErr w:type="spellStart"/>
      <w:r w:rsidR="00652230">
        <w:rPr>
          <w:lang w:val="sr-Cyrl-BA"/>
        </w:rPr>
        <w:t>д.о.о</w:t>
      </w:r>
      <w:proofErr w:type="spellEnd"/>
      <w:r w:rsidR="00652230">
        <w:rPr>
          <w:lang w:val="sr-Cyrl-BA"/>
        </w:rPr>
        <w:t>. Бања Лука даје сагласност на измјене и допуне проспекта и статута отвореног акцијског инвестиционог фонда са јавном понудом „БОРС ИНВЕСТ ФОНД“ и отвореног акцијског фонда са јавном понудом „ВИБ ФОНД“</w:t>
      </w:r>
      <w:r w:rsidR="007232BF" w:rsidRPr="00397706">
        <w:rPr>
          <w:lang w:val="sr-Cyrl-BA"/>
        </w:rPr>
        <w:t>.</w:t>
      </w:r>
    </w:p>
    <w:p w14:paraId="4F829576"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Сагласност на именовање чланова надзорног одбора инвестиционог фонда</w:t>
      </w:r>
      <w:r w:rsidRPr="00EC6422">
        <w:rPr>
          <w:lang w:val="sr-Cyrl-BA"/>
        </w:rPr>
        <w:t xml:space="preserve">, Комисија за хартије од вриједности издаје у складу са чланом 69. Закона о инвестиционим фондовима. </w:t>
      </w:r>
    </w:p>
    <w:p w14:paraId="5FACB265" w14:textId="78FAE509" w:rsidR="00434025" w:rsidRPr="00EC6422" w:rsidRDefault="00397706" w:rsidP="006B6E0C">
      <w:pPr>
        <w:spacing w:after="0" w:line="240" w:lineRule="auto"/>
        <w:ind w:firstLine="567"/>
        <w:rPr>
          <w:lang w:val="sr-Cyrl-BA"/>
        </w:rPr>
      </w:pPr>
      <w:r w:rsidRPr="001F0CAD">
        <w:rPr>
          <w:lang w:val="sr-Cyrl-BA"/>
        </w:rPr>
        <w:t xml:space="preserve">У </w:t>
      </w:r>
      <w:r w:rsidR="00652230">
        <w:rPr>
          <w:lang w:val="sr-Cyrl-BA"/>
        </w:rPr>
        <w:t>2023. години</w:t>
      </w:r>
      <w:r w:rsidR="00652230" w:rsidRPr="001F0CAD">
        <w:rPr>
          <w:lang w:val="sr-Cyrl-BA"/>
        </w:rPr>
        <w:t xml:space="preserve"> оваквих поступака није било, јер су затворени инвестициони фондови завршили процес преобликовања те послују у форми отвореног инвестиционог фонда који нема надзорни одбор</w:t>
      </w:r>
      <w:r w:rsidR="00434025">
        <w:rPr>
          <w:lang w:val="sr-Cyrl-BA"/>
        </w:rPr>
        <w:t>.</w:t>
      </w:r>
    </w:p>
    <w:p w14:paraId="7F44C76C" w14:textId="2CE7AB55" w:rsidR="00434025" w:rsidRPr="00EC6422" w:rsidRDefault="00397706" w:rsidP="006B6E0C">
      <w:pPr>
        <w:pStyle w:val="ListParagraph"/>
        <w:numPr>
          <w:ilvl w:val="0"/>
          <w:numId w:val="7"/>
        </w:numPr>
        <w:tabs>
          <w:tab w:val="left" w:pos="851"/>
        </w:tabs>
        <w:spacing w:after="0" w:line="240" w:lineRule="auto"/>
        <w:ind w:left="0" w:firstLine="567"/>
        <w:contextualSpacing w:val="0"/>
        <w:rPr>
          <w:lang w:val="sr-Cyrl-BA"/>
        </w:rPr>
      </w:pPr>
      <w:r w:rsidRPr="00FE00C5">
        <w:rPr>
          <w:b/>
          <w:lang w:val="sr-Cyrl-BA"/>
        </w:rPr>
        <w:t xml:space="preserve">Дозволе друштвима за управљање инвестиционим фондовима за закључење уговора о обављању </w:t>
      </w:r>
      <w:proofErr w:type="spellStart"/>
      <w:r w:rsidRPr="00FE00C5">
        <w:rPr>
          <w:b/>
          <w:lang w:val="sr-Cyrl-BA"/>
        </w:rPr>
        <w:t>депозитарних</w:t>
      </w:r>
      <w:proofErr w:type="spellEnd"/>
      <w:r w:rsidRPr="00FE00C5">
        <w:rPr>
          <w:b/>
          <w:lang w:val="sr-Cyrl-BA"/>
        </w:rPr>
        <w:t xml:space="preserve"> послова, </w:t>
      </w:r>
      <w:r w:rsidRPr="00FE00C5">
        <w:rPr>
          <w:lang w:val="sr-Cyrl-BA"/>
        </w:rPr>
        <w:t xml:space="preserve">Комисија издаје према одредбама члана 50. Закона о инвестиционим фондовима, док се </w:t>
      </w:r>
      <w:r w:rsidRPr="00FE00C5">
        <w:rPr>
          <w:b/>
          <w:lang w:val="sr-Cyrl-BA"/>
        </w:rPr>
        <w:t>дозвола</w:t>
      </w:r>
      <w:r w:rsidRPr="00FE00C5">
        <w:rPr>
          <w:lang w:val="sr-Cyrl-BA"/>
        </w:rPr>
        <w:t xml:space="preserve"> </w:t>
      </w:r>
      <w:r w:rsidRPr="00FE00C5">
        <w:rPr>
          <w:b/>
          <w:lang w:val="sr-Cyrl-BA"/>
        </w:rPr>
        <w:t xml:space="preserve">за промјену банке </w:t>
      </w:r>
      <w:proofErr w:type="spellStart"/>
      <w:r w:rsidRPr="00FE00C5">
        <w:rPr>
          <w:b/>
          <w:lang w:val="sr-Cyrl-BA"/>
        </w:rPr>
        <w:t>депозитара</w:t>
      </w:r>
      <w:proofErr w:type="spellEnd"/>
      <w:r w:rsidRPr="00FE00C5">
        <w:rPr>
          <w:lang w:val="sr-Cyrl-BA"/>
        </w:rPr>
        <w:t xml:space="preserve"> издаје према одредбама члана 56. Закона о инвестиционим фондовима</w:t>
      </w:r>
      <w:r w:rsidR="00434025" w:rsidRPr="00EC6422">
        <w:rPr>
          <w:lang w:val="sr-Cyrl-BA"/>
        </w:rPr>
        <w:t>.</w:t>
      </w:r>
    </w:p>
    <w:p w14:paraId="0CA3684F" w14:textId="23D84F4B" w:rsidR="00434025" w:rsidRPr="00EC6422" w:rsidRDefault="00652230" w:rsidP="006B6E0C">
      <w:pPr>
        <w:spacing w:after="0" w:line="240" w:lineRule="auto"/>
        <w:ind w:firstLine="567"/>
        <w:rPr>
          <w:lang w:val="sr-Cyrl-BA"/>
        </w:rPr>
      </w:pPr>
      <w:r w:rsidRPr="001F0CAD">
        <w:rPr>
          <w:lang w:val="sr-Cyrl-BA"/>
        </w:rPr>
        <w:t xml:space="preserve">У </w:t>
      </w:r>
      <w:r>
        <w:rPr>
          <w:lang w:val="sr-Cyrl-BA"/>
        </w:rPr>
        <w:t>2023. години</w:t>
      </w:r>
      <w:r w:rsidRPr="001F0CAD">
        <w:rPr>
          <w:lang w:val="sr-Cyrl-BA"/>
        </w:rPr>
        <w:t xml:space="preserve"> оваквих поступака није било</w:t>
      </w:r>
      <w:r w:rsidR="00434025" w:rsidRPr="00EC6422">
        <w:rPr>
          <w:lang w:val="sr-Cyrl-BA"/>
        </w:rPr>
        <w:t>.</w:t>
      </w:r>
    </w:p>
    <w:p w14:paraId="73E54BBA"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Одобрења промотивних информација о инвестиционим фондовима и друштвима која њима управљају</w:t>
      </w:r>
      <w:r w:rsidRPr="00EC6422">
        <w:rPr>
          <w:lang w:val="sr-Cyrl-BA"/>
        </w:rPr>
        <w:t xml:space="preserve">, Комисија за хартије од вриједности издаје на основу овлашћења из члана 115. Закона о инвестиционим фондовима. </w:t>
      </w:r>
    </w:p>
    <w:p w14:paraId="3E972524" w14:textId="5B44C208" w:rsidR="00434025" w:rsidRDefault="00652230" w:rsidP="006B6E0C">
      <w:pPr>
        <w:spacing w:after="0" w:line="240" w:lineRule="auto"/>
        <w:ind w:firstLine="567"/>
        <w:rPr>
          <w:lang w:val="sr-Cyrl-BA"/>
        </w:rPr>
      </w:pPr>
      <w:r w:rsidRPr="0097023A">
        <w:rPr>
          <w:lang w:val="sr-Cyrl-BA"/>
        </w:rPr>
        <w:t xml:space="preserve">У </w:t>
      </w:r>
      <w:r>
        <w:rPr>
          <w:lang w:val="sr-Cyrl-BA"/>
        </w:rPr>
        <w:t>2023. години</w:t>
      </w:r>
      <w:r w:rsidRPr="001F0CAD">
        <w:rPr>
          <w:lang w:val="sr-Cyrl-BA"/>
        </w:rPr>
        <w:t xml:space="preserve"> </w:t>
      </w:r>
      <w:r w:rsidRPr="0097023A">
        <w:rPr>
          <w:lang w:val="sr-Cyrl-BA"/>
        </w:rPr>
        <w:t xml:space="preserve">Комисија је </w:t>
      </w:r>
      <w:r>
        <w:rPr>
          <w:lang w:val="sr-Cyrl-BA"/>
        </w:rPr>
        <w:t>дала сагласност на промотивни материјал ОАИФ „</w:t>
      </w:r>
      <w:r>
        <w:rPr>
          <w:lang w:val="sr-Latn-BA"/>
        </w:rPr>
        <w:t>MS Global Equity“</w:t>
      </w:r>
      <w:r w:rsidR="00434025" w:rsidRPr="00EC6422">
        <w:rPr>
          <w:lang w:val="sr-Cyrl-BA"/>
        </w:rPr>
        <w:t xml:space="preserve">. </w:t>
      </w:r>
    </w:p>
    <w:p w14:paraId="5AA77F56" w14:textId="0F0365BD" w:rsidR="0081191D" w:rsidRDefault="0081191D" w:rsidP="0081191D">
      <w:pPr>
        <w:pStyle w:val="ListParagraph"/>
        <w:numPr>
          <w:ilvl w:val="0"/>
          <w:numId w:val="7"/>
        </w:numPr>
        <w:tabs>
          <w:tab w:val="left" w:pos="851"/>
        </w:tabs>
        <w:spacing w:after="0" w:line="240" w:lineRule="auto"/>
        <w:ind w:left="0" w:firstLine="567"/>
        <w:contextualSpacing w:val="0"/>
        <w:rPr>
          <w:lang w:val="sr-Cyrl-CS"/>
        </w:rPr>
      </w:pPr>
      <w:r w:rsidRPr="00491A49">
        <w:rPr>
          <w:b/>
          <w:lang w:val="sr-Cyrl-BA"/>
        </w:rPr>
        <w:t>Дозвол</w:t>
      </w:r>
      <w:r>
        <w:rPr>
          <w:b/>
          <w:lang w:val="sr-Cyrl-BA"/>
        </w:rPr>
        <w:t>у</w:t>
      </w:r>
      <w:r w:rsidRPr="00491A49">
        <w:rPr>
          <w:b/>
          <w:lang w:val="sr-Cyrl-BA"/>
        </w:rPr>
        <w:t xml:space="preserve"> за стицање квалификованог учешћа у друштву за управљање</w:t>
      </w:r>
      <w:r>
        <w:rPr>
          <w:lang w:val="sr-Cyrl-BA"/>
        </w:rPr>
        <w:t xml:space="preserve">, Комисија издаје на основу овлашћења из члана </w:t>
      </w:r>
      <w:r w:rsidRPr="00FA522A">
        <w:rPr>
          <w:lang w:val="sr-Cyrl-CS"/>
        </w:rPr>
        <w:t>22а. Закона о инвестиционим фондовима</w:t>
      </w:r>
      <w:r>
        <w:rPr>
          <w:lang w:val="sr-Cyrl-CS"/>
        </w:rPr>
        <w:t>.</w:t>
      </w:r>
    </w:p>
    <w:p w14:paraId="4ADB18DC" w14:textId="15C182F9" w:rsidR="00652230" w:rsidRDefault="00652230" w:rsidP="00652230">
      <w:pPr>
        <w:spacing w:after="0" w:line="240" w:lineRule="auto"/>
        <w:ind w:firstLine="567"/>
        <w:rPr>
          <w:lang w:val="sr-Cyrl-BA"/>
        </w:rPr>
      </w:pPr>
      <w:r w:rsidRPr="00652230">
        <w:rPr>
          <w:lang w:val="sr-Cyrl-BA"/>
        </w:rPr>
        <w:t xml:space="preserve">У </w:t>
      </w:r>
      <w:r>
        <w:rPr>
          <w:lang w:val="sr-Cyrl-BA"/>
        </w:rPr>
        <w:t>2023. години</w:t>
      </w:r>
      <w:r w:rsidRPr="001F0CAD">
        <w:rPr>
          <w:lang w:val="sr-Cyrl-BA"/>
        </w:rPr>
        <w:t xml:space="preserve"> </w:t>
      </w:r>
      <w:r w:rsidRPr="00652230">
        <w:rPr>
          <w:lang w:val="sr-Cyrl-BA"/>
        </w:rPr>
        <w:t xml:space="preserve">Комисија је донијела два рјешења којима се даје дозвола за стицање квалификованог учешћа у друштвима за управљање инвестиционим фондовима. </w:t>
      </w:r>
    </w:p>
    <w:p w14:paraId="1ABA134D" w14:textId="2FE6F894" w:rsidR="00652230" w:rsidRPr="00652230" w:rsidRDefault="00652230" w:rsidP="00652230">
      <w:pPr>
        <w:spacing w:after="0" w:line="240" w:lineRule="auto"/>
        <w:ind w:firstLine="567"/>
        <w:rPr>
          <w:lang w:val="sr-Cyrl-BA"/>
        </w:rPr>
      </w:pPr>
      <w:r w:rsidRPr="00652230">
        <w:rPr>
          <w:lang w:val="sr-Cyrl-BA"/>
        </w:rPr>
        <w:t>Усвојена су три одговора на упите у вези са пословањем ДУИФ</w:t>
      </w:r>
      <w:r>
        <w:rPr>
          <w:lang w:val="sr-Cyrl-BA"/>
        </w:rPr>
        <w:t>.</w:t>
      </w:r>
    </w:p>
    <w:p w14:paraId="5C9AD8DA" w14:textId="0CD49F9E" w:rsidR="0081191D" w:rsidRPr="001F0CAD" w:rsidRDefault="0081191D" w:rsidP="0081191D">
      <w:pPr>
        <w:pStyle w:val="ListParagraph"/>
        <w:numPr>
          <w:ilvl w:val="0"/>
          <w:numId w:val="7"/>
        </w:numPr>
        <w:tabs>
          <w:tab w:val="left" w:pos="993"/>
        </w:tabs>
        <w:spacing w:after="0" w:line="240" w:lineRule="auto"/>
        <w:ind w:left="0" w:firstLine="567"/>
        <w:contextualSpacing w:val="0"/>
        <w:rPr>
          <w:lang w:val="sr-Cyrl-BA"/>
        </w:rPr>
      </w:pPr>
      <w:r w:rsidRPr="001F0CAD">
        <w:rPr>
          <w:b/>
          <w:lang w:val="sr-Cyrl-BA"/>
        </w:rPr>
        <w:t>Одобрење отварања пословнице друштва за управљање, Ком</w:t>
      </w:r>
      <w:r>
        <w:rPr>
          <w:b/>
          <w:lang w:val="sr-Cyrl-BA"/>
        </w:rPr>
        <w:t>и</w:t>
      </w:r>
      <w:r w:rsidRPr="001F0CAD">
        <w:rPr>
          <w:b/>
          <w:lang w:val="sr-Cyrl-BA"/>
        </w:rPr>
        <w:t>сија издаје сходно члану 36. став 2. Закона о инвестиционим фондовима.</w:t>
      </w:r>
    </w:p>
    <w:p w14:paraId="6161BCD5" w14:textId="492E00D3" w:rsidR="0081191D" w:rsidRDefault="0081191D" w:rsidP="0081191D">
      <w:pPr>
        <w:spacing w:after="0" w:line="240" w:lineRule="auto"/>
        <w:ind w:firstLine="567"/>
        <w:rPr>
          <w:lang w:val="sr-Latn-BA"/>
        </w:rPr>
      </w:pPr>
      <w:r w:rsidRPr="001F0CAD">
        <w:rPr>
          <w:lang w:val="sr-Cyrl-BA"/>
        </w:rPr>
        <w:t xml:space="preserve">У </w:t>
      </w:r>
      <w:r w:rsidR="00652230">
        <w:rPr>
          <w:lang w:val="sr-Cyrl-BA"/>
        </w:rPr>
        <w:t>2023. години</w:t>
      </w:r>
      <w:r w:rsidR="00652230" w:rsidRPr="001F0CAD">
        <w:rPr>
          <w:lang w:val="sr-Cyrl-BA"/>
        </w:rPr>
        <w:t xml:space="preserve"> </w:t>
      </w:r>
      <w:r w:rsidRPr="001F0CAD">
        <w:rPr>
          <w:lang w:val="sr-Cyrl-BA"/>
        </w:rPr>
        <w:t>оваквих поступака није било.</w:t>
      </w:r>
    </w:p>
    <w:p w14:paraId="6D8D9059" w14:textId="3FD29844" w:rsidR="008A17F3" w:rsidRPr="008A17F3" w:rsidRDefault="008A17F3" w:rsidP="008A17F3">
      <w:pPr>
        <w:pStyle w:val="Heading2"/>
        <w:spacing w:before="240" w:after="0" w:line="240" w:lineRule="auto"/>
        <w:ind w:left="578" w:hanging="578"/>
        <w:rPr>
          <w:rFonts w:ascii="Times New Roman" w:hAnsi="Times New Roman"/>
          <w:sz w:val="24"/>
          <w:lang w:val="sr-Cyrl-BA"/>
        </w:rPr>
      </w:pPr>
      <w:bookmarkStart w:id="66" w:name="_Toc167960432"/>
      <w:r w:rsidRPr="008A17F3">
        <w:rPr>
          <w:rFonts w:ascii="Times New Roman" w:hAnsi="Times New Roman"/>
          <w:sz w:val="24"/>
          <w:lang w:val="sr-Cyrl-BA"/>
        </w:rPr>
        <w:lastRenderedPageBreak/>
        <w:t xml:space="preserve">Издавање дозвола и сагласности учесницима на тржишту </w:t>
      </w:r>
      <w:r w:rsidR="009B313B">
        <w:rPr>
          <w:rFonts w:ascii="Times New Roman" w:hAnsi="Times New Roman"/>
          <w:sz w:val="24"/>
          <w:lang w:val="sr-Cyrl-BA"/>
        </w:rPr>
        <w:t>у складу са</w:t>
      </w:r>
      <w:r w:rsidRPr="008A17F3">
        <w:rPr>
          <w:rFonts w:ascii="Times New Roman" w:hAnsi="Times New Roman"/>
          <w:sz w:val="24"/>
          <w:lang w:val="sr-Cyrl-BA"/>
        </w:rPr>
        <w:t xml:space="preserve"> </w:t>
      </w:r>
      <w:r w:rsidR="009B313B">
        <w:rPr>
          <w:rFonts w:ascii="Times New Roman" w:hAnsi="Times New Roman"/>
          <w:sz w:val="24"/>
          <w:lang w:val="sr-Cyrl-BA"/>
        </w:rPr>
        <w:t>З</w:t>
      </w:r>
      <w:r w:rsidRPr="008A17F3">
        <w:rPr>
          <w:rFonts w:ascii="Times New Roman" w:hAnsi="Times New Roman"/>
          <w:sz w:val="24"/>
          <w:lang w:val="sr-Cyrl-BA"/>
        </w:rPr>
        <w:t>акон</w:t>
      </w:r>
      <w:r w:rsidR="009B313B">
        <w:rPr>
          <w:rFonts w:ascii="Times New Roman" w:hAnsi="Times New Roman"/>
          <w:sz w:val="24"/>
          <w:lang w:val="sr-Cyrl-BA"/>
        </w:rPr>
        <w:t>ом</w:t>
      </w:r>
      <w:r w:rsidRPr="008A17F3">
        <w:rPr>
          <w:rFonts w:ascii="Times New Roman" w:hAnsi="Times New Roman"/>
          <w:sz w:val="24"/>
          <w:lang w:val="sr-Cyrl-BA"/>
        </w:rPr>
        <w:t xml:space="preserve"> о </w:t>
      </w:r>
      <w:proofErr w:type="spellStart"/>
      <w:r w:rsidRPr="008A17F3">
        <w:rPr>
          <w:rFonts w:ascii="Times New Roman" w:hAnsi="Times New Roman"/>
          <w:sz w:val="24"/>
          <w:lang w:val="sr-Cyrl-BA"/>
        </w:rPr>
        <w:t>факторингу</w:t>
      </w:r>
      <w:bookmarkEnd w:id="66"/>
      <w:proofErr w:type="spellEnd"/>
    </w:p>
    <w:p w14:paraId="1BBD75F2" w14:textId="2FEDE5E3" w:rsidR="008A17F3" w:rsidRPr="000A556C" w:rsidRDefault="008A17F3" w:rsidP="008A17F3">
      <w:pPr>
        <w:spacing w:after="0" w:line="240" w:lineRule="auto"/>
        <w:ind w:firstLine="567"/>
        <w:rPr>
          <w:lang w:val="sr-Cyrl-BA"/>
        </w:rPr>
      </w:pPr>
      <w:r w:rsidRPr="000A556C">
        <w:rPr>
          <w:lang w:val="sr-Cyrl-BA"/>
        </w:rPr>
        <w:t xml:space="preserve">У складу са Законом о </w:t>
      </w:r>
      <w:proofErr w:type="spellStart"/>
      <w:r>
        <w:rPr>
          <w:lang w:val="sr-Cyrl-BA"/>
        </w:rPr>
        <w:t>факторингу</w:t>
      </w:r>
      <w:proofErr w:type="spellEnd"/>
      <w:r>
        <w:rPr>
          <w:rStyle w:val="FootnoteReference"/>
          <w:lang w:val="sr-Cyrl-BA"/>
        </w:rPr>
        <w:footnoteReference w:id="15"/>
      </w:r>
      <w:r w:rsidRPr="000A556C">
        <w:rPr>
          <w:lang w:val="sr-Cyrl-BA"/>
        </w:rPr>
        <w:t xml:space="preserve"> Комисија за хартије од вриједности је надлежна за издавање:</w:t>
      </w:r>
    </w:p>
    <w:p w14:paraId="4E627BB0" w14:textId="77777777" w:rsidR="008A17F3" w:rsidRPr="000A556C" w:rsidRDefault="008A17F3" w:rsidP="008A17F3">
      <w:pPr>
        <w:spacing w:before="0" w:after="60" w:line="240" w:lineRule="auto"/>
        <w:ind w:left="851" w:hanging="284"/>
        <w:rPr>
          <w:lang w:val="sr-Cyrl-BA"/>
        </w:rPr>
      </w:pPr>
      <w:r w:rsidRPr="000A556C">
        <w:rPr>
          <w:lang w:val="sr-Cyrl-BA"/>
        </w:rPr>
        <w:t>1) Дозвол</w:t>
      </w:r>
      <w:r>
        <w:rPr>
          <w:lang w:val="sr-Cyrl-BA"/>
        </w:rPr>
        <w:t>е</w:t>
      </w:r>
      <w:r w:rsidRPr="000A556C">
        <w:rPr>
          <w:lang w:val="sr-Cyrl-BA"/>
        </w:rPr>
        <w:t xml:space="preserve"> друштвима за </w:t>
      </w:r>
      <w:proofErr w:type="spellStart"/>
      <w:r>
        <w:rPr>
          <w:lang w:val="sr-Cyrl-BA"/>
        </w:rPr>
        <w:t>факторинг</w:t>
      </w:r>
      <w:proofErr w:type="spellEnd"/>
      <w:r>
        <w:rPr>
          <w:lang w:val="sr-Cyrl-BA"/>
        </w:rPr>
        <w:t xml:space="preserve"> за обављање дјелатности </w:t>
      </w:r>
      <w:proofErr w:type="spellStart"/>
      <w:r>
        <w:rPr>
          <w:lang w:val="sr-Cyrl-BA"/>
        </w:rPr>
        <w:t>факторинга</w:t>
      </w:r>
      <w:proofErr w:type="spellEnd"/>
      <w:r w:rsidRPr="000A556C">
        <w:rPr>
          <w:lang w:val="sr-Cyrl-BA"/>
        </w:rPr>
        <w:t>;</w:t>
      </w:r>
    </w:p>
    <w:p w14:paraId="332FE050" w14:textId="77777777" w:rsidR="008A17F3" w:rsidRDefault="008A17F3" w:rsidP="008A17F3">
      <w:pPr>
        <w:spacing w:before="0" w:after="60" w:line="240" w:lineRule="auto"/>
        <w:ind w:left="851" w:hanging="284"/>
        <w:rPr>
          <w:lang w:val="sr-Cyrl-BA"/>
        </w:rPr>
      </w:pPr>
      <w:r w:rsidRPr="000A556C">
        <w:rPr>
          <w:lang w:val="sr-Cyrl-BA"/>
        </w:rPr>
        <w:t>2) Дозвол</w:t>
      </w:r>
      <w:r>
        <w:rPr>
          <w:lang w:val="sr-Cyrl-BA"/>
        </w:rPr>
        <w:t>е</w:t>
      </w:r>
      <w:r w:rsidRPr="000A556C">
        <w:rPr>
          <w:lang w:val="sr-Cyrl-BA"/>
        </w:rPr>
        <w:t xml:space="preserve"> на именовање чланова упр</w:t>
      </w:r>
      <w:r>
        <w:rPr>
          <w:lang w:val="sr-Cyrl-BA"/>
        </w:rPr>
        <w:t>авног одбора</w:t>
      </w:r>
      <w:r w:rsidRPr="000A556C">
        <w:rPr>
          <w:lang w:val="sr-Cyrl-BA"/>
        </w:rPr>
        <w:t xml:space="preserve"> друштва за </w:t>
      </w:r>
      <w:proofErr w:type="spellStart"/>
      <w:r>
        <w:rPr>
          <w:lang w:val="sr-Cyrl-BA"/>
        </w:rPr>
        <w:t>факторинг</w:t>
      </w:r>
      <w:proofErr w:type="spellEnd"/>
      <w:r w:rsidRPr="000A556C">
        <w:rPr>
          <w:lang w:val="sr-Cyrl-BA"/>
        </w:rPr>
        <w:t>;</w:t>
      </w:r>
    </w:p>
    <w:p w14:paraId="4EBD1A94" w14:textId="77777777" w:rsidR="008A17F3" w:rsidRDefault="008A17F3" w:rsidP="008A17F3">
      <w:pPr>
        <w:spacing w:before="0" w:after="60" w:line="240" w:lineRule="auto"/>
        <w:ind w:left="851" w:hanging="284"/>
        <w:rPr>
          <w:lang w:val="sr-Cyrl-BA"/>
        </w:rPr>
      </w:pPr>
      <w:r>
        <w:rPr>
          <w:lang w:val="sr-Cyrl-BA"/>
        </w:rPr>
        <w:t xml:space="preserve">3) Дозволе на именовање директора друштва за </w:t>
      </w:r>
      <w:proofErr w:type="spellStart"/>
      <w:r>
        <w:rPr>
          <w:lang w:val="sr-Cyrl-BA"/>
        </w:rPr>
        <w:t>факторинг</w:t>
      </w:r>
      <w:proofErr w:type="spellEnd"/>
      <w:r>
        <w:rPr>
          <w:lang w:val="sr-Cyrl-BA"/>
        </w:rPr>
        <w:t>;</w:t>
      </w:r>
    </w:p>
    <w:p w14:paraId="47B17E7A" w14:textId="5227624F" w:rsidR="008A17F3" w:rsidRDefault="008A17F3" w:rsidP="008A17F3">
      <w:pPr>
        <w:spacing w:before="0" w:after="60" w:line="240" w:lineRule="auto"/>
        <w:ind w:left="851" w:hanging="284"/>
        <w:rPr>
          <w:lang w:val="sr-Cyrl-BA"/>
        </w:rPr>
      </w:pPr>
      <w:r>
        <w:rPr>
          <w:lang w:val="sr-Cyrl-BA"/>
        </w:rPr>
        <w:t>4)</w:t>
      </w:r>
      <w:r>
        <w:rPr>
          <w:lang w:val="sr-Latn-BA"/>
        </w:rPr>
        <w:tab/>
      </w:r>
      <w:r>
        <w:rPr>
          <w:lang w:val="sr-Cyrl-BA"/>
        </w:rPr>
        <w:t xml:space="preserve">Дозволе за стицање квалификованог учешћа, за правна и физичка лица, у друштву за </w:t>
      </w:r>
      <w:proofErr w:type="spellStart"/>
      <w:r>
        <w:rPr>
          <w:lang w:val="sr-Cyrl-BA"/>
        </w:rPr>
        <w:t>факторинг</w:t>
      </w:r>
      <w:proofErr w:type="spellEnd"/>
      <w:r>
        <w:rPr>
          <w:lang w:val="sr-Cyrl-BA"/>
        </w:rPr>
        <w:t>;</w:t>
      </w:r>
    </w:p>
    <w:p w14:paraId="7F4DD892" w14:textId="77777777" w:rsidR="008A17F3" w:rsidRDefault="008A17F3" w:rsidP="008A17F3">
      <w:pPr>
        <w:spacing w:before="0" w:after="60" w:line="240" w:lineRule="auto"/>
        <w:ind w:left="851" w:hanging="284"/>
        <w:rPr>
          <w:lang w:val="sr-Cyrl-BA"/>
        </w:rPr>
      </w:pPr>
      <w:r>
        <w:rPr>
          <w:lang w:val="sr-Cyrl-BA"/>
        </w:rPr>
        <w:t xml:space="preserve">5) Дозволе за обављање дјелатности </w:t>
      </w:r>
      <w:proofErr w:type="spellStart"/>
      <w:r>
        <w:rPr>
          <w:lang w:val="sr-Cyrl-BA"/>
        </w:rPr>
        <w:t>факторинга</w:t>
      </w:r>
      <w:proofErr w:type="spellEnd"/>
      <w:r>
        <w:rPr>
          <w:lang w:val="sr-Cyrl-BA"/>
        </w:rPr>
        <w:t xml:space="preserve"> путем пословне јединице у БиХ, а изван Републике Српске;</w:t>
      </w:r>
    </w:p>
    <w:p w14:paraId="687A5977" w14:textId="77777777" w:rsidR="008A17F3" w:rsidRDefault="008A17F3" w:rsidP="008A17F3">
      <w:pPr>
        <w:spacing w:before="0" w:after="60" w:line="240" w:lineRule="auto"/>
        <w:ind w:left="851" w:hanging="284"/>
        <w:rPr>
          <w:lang w:val="sr-Cyrl-BA"/>
        </w:rPr>
      </w:pPr>
      <w:r>
        <w:rPr>
          <w:lang w:val="sr-Cyrl-BA"/>
        </w:rPr>
        <w:t xml:space="preserve">6) </w:t>
      </w:r>
      <w:r w:rsidRPr="00DB030B">
        <w:rPr>
          <w:lang w:val="sr-Cyrl-BA"/>
        </w:rPr>
        <w:t xml:space="preserve">Дозволе за обављање дјелатности </w:t>
      </w:r>
      <w:proofErr w:type="spellStart"/>
      <w:r w:rsidRPr="00DB030B">
        <w:rPr>
          <w:lang w:val="sr-Cyrl-BA"/>
        </w:rPr>
        <w:t>факторинга</w:t>
      </w:r>
      <w:proofErr w:type="spellEnd"/>
      <w:r w:rsidRPr="00DB030B">
        <w:rPr>
          <w:lang w:val="sr-Cyrl-BA"/>
        </w:rPr>
        <w:t xml:space="preserve"> изван Републике Српске</w:t>
      </w:r>
      <w:r>
        <w:rPr>
          <w:lang w:val="sr-Cyrl-BA"/>
        </w:rPr>
        <w:t>;</w:t>
      </w:r>
    </w:p>
    <w:p w14:paraId="4E703FDB" w14:textId="5465ABB4" w:rsidR="002C5D98" w:rsidRPr="00CF1DAB" w:rsidRDefault="00397706" w:rsidP="00CF1DAB">
      <w:pPr>
        <w:spacing w:after="0" w:line="240" w:lineRule="auto"/>
        <w:ind w:firstLine="567"/>
        <w:rPr>
          <w:lang w:val="sr-Cyrl-BA"/>
        </w:rPr>
      </w:pPr>
      <w:r w:rsidRPr="00052761">
        <w:rPr>
          <w:lang w:val="sr-Cyrl-BA"/>
        </w:rPr>
        <w:t xml:space="preserve">У </w:t>
      </w:r>
      <w:r w:rsidR="00CF1DAB">
        <w:rPr>
          <w:lang w:val="sr-Cyrl-BA"/>
        </w:rPr>
        <w:t>2023. години</w:t>
      </w:r>
      <w:r w:rsidRPr="00052761">
        <w:rPr>
          <w:lang w:val="sr-Cyrl-BA"/>
        </w:rPr>
        <w:t xml:space="preserve"> дата је дозвола </w:t>
      </w:r>
      <w:r w:rsidR="00A277DE">
        <w:rPr>
          <w:lang w:val="sr-Cyrl-BA"/>
        </w:rPr>
        <w:t xml:space="preserve">за обаљање дјелатности </w:t>
      </w:r>
      <w:proofErr w:type="spellStart"/>
      <w:r w:rsidR="00A277DE">
        <w:rPr>
          <w:lang w:val="sr-Cyrl-BA"/>
        </w:rPr>
        <w:t>факторинга</w:t>
      </w:r>
      <w:proofErr w:type="spellEnd"/>
      <w:r w:rsidR="00A277DE">
        <w:rPr>
          <w:lang w:val="sr-Cyrl-BA"/>
        </w:rPr>
        <w:t xml:space="preserve"> </w:t>
      </w:r>
      <w:r w:rsidR="00CF1DAB" w:rsidRPr="00052761">
        <w:rPr>
          <w:lang w:val="sr-Cyrl-BA"/>
        </w:rPr>
        <w:t xml:space="preserve">Друштву за </w:t>
      </w:r>
      <w:proofErr w:type="spellStart"/>
      <w:r w:rsidR="00CF1DAB" w:rsidRPr="00052761">
        <w:rPr>
          <w:lang w:val="sr-Cyrl-BA"/>
        </w:rPr>
        <w:t>факторинг</w:t>
      </w:r>
      <w:proofErr w:type="spellEnd"/>
      <w:r w:rsidR="00CF1DAB" w:rsidRPr="00052761">
        <w:rPr>
          <w:lang w:val="sr-Cyrl-BA"/>
        </w:rPr>
        <w:t xml:space="preserve"> „</w:t>
      </w:r>
      <w:proofErr w:type="spellStart"/>
      <w:r w:rsidR="00CF1DAB">
        <w:rPr>
          <w:lang w:val="sr-Cyrl-BA"/>
        </w:rPr>
        <w:t>Факторис</w:t>
      </w:r>
      <w:proofErr w:type="spellEnd"/>
      <w:r w:rsidR="00CF1DAB" w:rsidRPr="00052761">
        <w:rPr>
          <w:lang w:val="sr-Cyrl-BA"/>
        </w:rPr>
        <w:t xml:space="preserve">“ </w:t>
      </w:r>
      <w:proofErr w:type="spellStart"/>
      <w:r w:rsidR="00CF1DAB">
        <w:rPr>
          <w:lang w:val="sr-Cyrl-BA"/>
        </w:rPr>
        <w:t>д.о.о</w:t>
      </w:r>
      <w:proofErr w:type="spellEnd"/>
      <w:r w:rsidR="00CF1DAB">
        <w:rPr>
          <w:lang w:val="sr-Cyrl-BA"/>
        </w:rPr>
        <w:t xml:space="preserve">. </w:t>
      </w:r>
      <w:r w:rsidR="00CF1DAB" w:rsidRPr="00052761">
        <w:rPr>
          <w:lang w:val="sr-Cyrl-BA"/>
        </w:rPr>
        <w:t>Бања Лука. Поред тога, издата је дозвола за обављање функције директора Друштва и сагласност на именовање три члана управног одбора Друштва</w:t>
      </w:r>
      <w:r w:rsidR="008A17F3" w:rsidRPr="001F0CAD">
        <w:rPr>
          <w:lang w:val="sr-Cyrl-BA"/>
        </w:rPr>
        <w:t>.</w:t>
      </w:r>
    </w:p>
    <w:tbl>
      <w:tblPr>
        <w:tblStyle w:val="LightGrid-Accent11"/>
        <w:tblW w:w="9259" w:type="dxa"/>
        <w:jc w:val="center"/>
        <w:tblLayout w:type="fixed"/>
        <w:tblLook w:val="0420" w:firstRow="1" w:lastRow="0" w:firstColumn="0" w:lastColumn="0" w:noHBand="0" w:noVBand="1"/>
      </w:tblPr>
      <w:tblGrid>
        <w:gridCol w:w="6238"/>
        <w:gridCol w:w="1843"/>
        <w:gridCol w:w="1178"/>
      </w:tblGrid>
      <w:tr w:rsidR="008A17F3" w:rsidRPr="00EF2179" w14:paraId="484202C3" w14:textId="77777777" w:rsidTr="009B313B">
        <w:trPr>
          <w:cnfStyle w:val="100000000000" w:firstRow="1" w:lastRow="0" w:firstColumn="0" w:lastColumn="0" w:oddVBand="0" w:evenVBand="0" w:oddHBand="0" w:evenHBand="0" w:firstRowFirstColumn="0" w:firstRowLastColumn="0" w:lastRowFirstColumn="0" w:lastRowLastColumn="0"/>
          <w:trHeight w:val="299"/>
          <w:jc w:val="center"/>
        </w:trPr>
        <w:tc>
          <w:tcPr>
            <w:tcW w:w="6238" w:type="dxa"/>
            <w:vAlign w:val="center"/>
            <w:hideMark/>
          </w:tcPr>
          <w:p w14:paraId="5F2EFE39" w14:textId="25D5519E" w:rsidR="008A17F3" w:rsidRPr="00EF2179" w:rsidRDefault="008A17F3" w:rsidP="009B313B">
            <w:pPr>
              <w:spacing w:after="0" w:line="240" w:lineRule="auto"/>
              <w:ind w:firstLine="0"/>
              <w:jc w:val="left"/>
              <w:rPr>
                <w:rFonts w:ascii="Times New Roman" w:eastAsia="Times New Roman" w:hAnsi="Times New Roman" w:cs="Times New Roman"/>
                <w:sz w:val="20"/>
                <w:szCs w:val="20"/>
                <w:lang w:val="sr-Cyrl-BA" w:eastAsia="sr-Latn-CS"/>
              </w:rPr>
            </w:pPr>
            <w:r w:rsidRPr="00EF2179">
              <w:rPr>
                <w:rFonts w:ascii="Times New Roman" w:hAnsi="Times New Roman" w:cs="Times New Roman"/>
                <w:sz w:val="20"/>
                <w:szCs w:val="20"/>
                <w:lang w:val="sr-Cyrl-BA"/>
              </w:rPr>
              <w:br w:type="page"/>
            </w:r>
            <w:r w:rsidRPr="00EF2179">
              <w:rPr>
                <w:rFonts w:ascii="Times New Roman" w:eastAsia="Times New Roman" w:hAnsi="Times New Roman" w:cs="Times New Roman"/>
                <w:sz w:val="20"/>
                <w:szCs w:val="20"/>
                <w:lang w:val="sr-Cyrl-BA" w:eastAsia="sr-Latn-CS"/>
              </w:rPr>
              <w:t>Назив</w:t>
            </w:r>
          </w:p>
        </w:tc>
        <w:tc>
          <w:tcPr>
            <w:tcW w:w="1843" w:type="dxa"/>
            <w:vAlign w:val="center"/>
            <w:hideMark/>
          </w:tcPr>
          <w:p w14:paraId="28DBC080" w14:textId="77777777" w:rsidR="008A17F3" w:rsidRPr="00EF2179" w:rsidRDefault="008A17F3" w:rsidP="009B313B">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F2179">
              <w:rPr>
                <w:rFonts w:ascii="Times New Roman" w:eastAsia="Times New Roman" w:hAnsi="Times New Roman" w:cs="Times New Roman"/>
                <w:sz w:val="20"/>
                <w:szCs w:val="20"/>
                <w:lang w:val="sr-Cyrl-BA" w:eastAsia="sr-Latn-CS"/>
              </w:rPr>
              <w:t>Број дозволе</w:t>
            </w:r>
          </w:p>
        </w:tc>
        <w:tc>
          <w:tcPr>
            <w:tcW w:w="1178" w:type="dxa"/>
            <w:vAlign w:val="center"/>
            <w:hideMark/>
          </w:tcPr>
          <w:p w14:paraId="1174C8A4" w14:textId="77777777" w:rsidR="008A17F3" w:rsidRPr="00EF2179" w:rsidRDefault="008A17F3" w:rsidP="009B313B">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F2179">
              <w:rPr>
                <w:rFonts w:ascii="Times New Roman" w:eastAsia="Times New Roman" w:hAnsi="Times New Roman" w:cs="Times New Roman"/>
                <w:sz w:val="20"/>
                <w:szCs w:val="20"/>
                <w:lang w:val="sr-Cyrl-BA" w:eastAsia="sr-Latn-CS"/>
              </w:rPr>
              <w:t>Датум издавања</w:t>
            </w:r>
          </w:p>
        </w:tc>
      </w:tr>
      <w:tr w:rsidR="00397706" w:rsidRPr="00EF2179" w14:paraId="2D545D2D"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hideMark/>
          </w:tcPr>
          <w:p w14:paraId="2770BBBF" w14:textId="3FA1F42C" w:rsidR="00397706" w:rsidRPr="00EF2179" w:rsidRDefault="00397706" w:rsidP="00397706">
            <w:pPr>
              <w:spacing w:after="0" w:line="240" w:lineRule="auto"/>
              <w:ind w:firstLine="0"/>
              <w:rPr>
                <w:rFonts w:ascii="Times New Roman" w:eastAsia="Times New Roman" w:hAnsi="Times New Roman" w:cs="Times New Roman"/>
                <w:sz w:val="20"/>
                <w:szCs w:val="20"/>
                <w:lang w:val="sr-Cyrl-BA" w:eastAsia="sr-Latn-CS"/>
              </w:rPr>
            </w:pPr>
            <w:r w:rsidRPr="00EF2179">
              <w:rPr>
                <w:rFonts w:ascii="Times New Roman" w:hAnsi="Times New Roman" w:cs="Times New Roman"/>
                <w:sz w:val="22"/>
                <w:lang w:val="sr-Cyrl-BA"/>
              </w:rPr>
              <w:t xml:space="preserve">Инвестиционо-развојна банка Републике Српске </w:t>
            </w:r>
            <w:proofErr w:type="spellStart"/>
            <w:r w:rsidRPr="00EF2179">
              <w:rPr>
                <w:rFonts w:ascii="Times New Roman" w:hAnsi="Times New Roman" w:cs="Times New Roman"/>
                <w:sz w:val="22"/>
                <w:lang w:val="sr-Cyrl-BA"/>
              </w:rPr>
              <w:t>а.д</w:t>
            </w:r>
            <w:proofErr w:type="spellEnd"/>
            <w:r w:rsidRPr="00EF2179">
              <w:rPr>
                <w:rFonts w:ascii="Times New Roman" w:hAnsi="Times New Roman" w:cs="Times New Roman"/>
                <w:sz w:val="22"/>
                <w:lang w:val="sr-Cyrl-BA"/>
              </w:rPr>
              <w:t>. Бања Лука</w:t>
            </w:r>
          </w:p>
        </w:tc>
        <w:tc>
          <w:tcPr>
            <w:tcW w:w="1843" w:type="dxa"/>
            <w:hideMark/>
          </w:tcPr>
          <w:p w14:paraId="2ADF5E1D" w14:textId="67E76A78"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01-УП-51-458-5/21</w:t>
            </w:r>
          </w:p>
        </w:tc>
        <w:tc>
          <w:tcPr>
            <w:tcW w:w="1178" w:type="dxa"/>
            <w:hideMark/>
          </w:tcPr>
          <w:p w14:paraId="562A3C33" w14:textId="0E951B79"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06.09.2021.</w:t>
            </w:r>
          </w:p>
        </w:tc>
      </w:tr>
      <w:tr w:rsidR="00397706" w:rsidRPr="00EF2179" w14:paraId="1F8EC458"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256CEFE2" w14:textId="094B9B85" w:rsidR="00397706" w:rsidRPr="00EF2179" w:rsidRDefault="00397706" w:rsidP="00397706">
            <w:pPr>
              <w:spacing w:after="0" w:line="240" w:lineRule="auto"/>
              <w:ind w:firstLine="0"/>
              <w:rPr>
                <w:rFonts w:ascii="Times New Roman" w:hAnsi="Times New Roman" w:cs="Times New Roman"/>
                <w:sz w:val="22"/>
                <w:lang w:val="sr-Cyrl-BA"/>
              </w:rPr>
            </w:pPr>
            <w:r w:rsidRPr="00EF2179">
              <w:rPr>
                <w:rFonts w:ascii="Times New Roman" w:hAnsi="Times New Roman" w:cs="Times New Roman"/>
                <w:sz w:val="22"/>
                <w:lang w:val="sr-Cyrl-BA"/>
              </w:rPr>
              <w:t xml:space="preserve">БИГ Фактор </w:t>
            </w:r>
            <w:proofErr w:type="spellStart"/>
            <w:r w:rsidRPr="00EF2179">
              <w:rPr>
                <w:rFonts w:ascii="Times New Roman" w:hAnsi="Times New Roman" w:cs="Times New Roman"/>
                <w:sz w:val="22"/>
                <w:lang w:val="sr-Cyrl-BA"/>
              </w:rPr>
              <w:t>а.д</w:t>
            </w:r>
            <w:proofErr w:type="spellEnd"/>
            <w:r w:rsidRPr="00EF2179">
              <w:rPr>
                <w:rFonts w:ascii="Times New Roman" w:hAnsi="Times New Roman" w:cs="Times New Roman"/>
                <w:sz w:val="22"/>
                <w:lang w:val="sr-Cyrl-BA"/>
              </w:rPr>
              <w:t>. Бања Лука</w:t>
            </w:r>
          </w:p>
        </w:tc>
        <w:tc>
          <w:tcPr>
            <w:tcW w:w="1843" w:type="dxa"/>
          </w:tcPr>
          <w:p w14:paraId="5F3B7DC0" w14:textId="3499F763"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hAnsi="Times New Roman" w:cs="Times New Roman"/>
                <w:sz w:val="20"/>
                <w:szCs w:val="20"/>
                <w:lang w:val="ru-RU"/>
              </w:rPr>
              <w:t>01</w:t>
            </w:r>
            <w:r w:rsidRPr="00EF2179">
              <w:rPr>
                <w:rFonts w:ascii="Times New Roman" w:hAnsi="Times New Roman" w:cs="Times New Roman"/>
                <w:sz w:val="20"/>
                <w:szCs w:val="20"/>
                <w:lang w:val="sr-Cyrl-CS"/>
              </w:rPr>
              <w:t>-УП</w:t>
            </w:r>
            <w:r w:rsidRPr="00EF2179">
              <w:rPr>
                <w:rFonts w:ascii="Times New Roman" w:hAnsi="Times New Roman" w:cs="Times New Roman"/>
                <w:sz w:val="20"/>
                <w:szCs w:val="20"/>
                <w:lang w:val="ru-RU"/>
              </w:rPr>
              <w:t>-</w:t>
            </w:r>
            <w:r w:rsidRPr="00EF2179">
              <w:rPr>
                <w:rFonts w:ascii="Times New Roman" w:hAnsi="Times New Roman" w:cs="Times New Roman"/>
                <w:sz w:val="20"/>
                <w:szCs w:val="20"/>
                <w:lang w:val="sr-Latn-BA"/>
              </w:rPr>
              <w:t>52-247</w:t>
            </w:r>
            <w:r w:rsidRPr="00EF2179">
              <w:rPr>
                <w:rFonts w:ascii="Times New Roman" w:hAnsi="Times New Roman" w:cs="Times New Roman"/>
                <w:sz w:val="20"/>
                <w:szCs w:val="20"/>
                <w:lang w:val="sr-Cyrl-BA"/>
              </w:rPr>
              <w:t>-</w:t>
            </w:r>
            <w:r w:rsidRPr="00EF2179">
              <w:rPr>
                <w:rFonts w:ascii="Times New Roman" w:hAnsi="Times New Roman" w:cs="Times New Roman"/>
                <w:sz w:val="20"/>
                <w:szCs w:val="20"/>
                <w:lang w:val="sr-Latn-BA"/>
              </w:rPr>
              <w:t>1/</w:t>
            </w:r>
            <w:r w:rsidRPr="00EF2179">
              <w:rPr>
                <w:rFonts w:ascii="Times New Roman" w:hAnsi="Times New Roman" w:cs="Times New Roman"/>
                <w:sz w:val="20"/>
                <w:szCs w:val="20"/>
                <w:lang w:val="sr-Cyrl-BA"/>
              </w:rPr>
              <w:t>2</w:t>
            </w:r>
            <w:r w:rsidRPr="00EF2179">
              <w:rPr>
                <w:rFonts w:ascii="Times New Roman" w:hAnsi="Times New Roman" w:cs="Times New Roman"/>
                <w:sz w:val="20"/>
                <w:szCs w:val="20"/>
                <w:lang w:val="sr-Latn-BA"/>
              </w:rPr>
              <w:t>2</w:t>
            </w:r>
          </w:p>
        </w:tc>
        <w:tc>
          <w:tcPr>
            <w:tcW w:w="1178" w:type="dxa"/>
          </w:tcPr>
          <w:p w14:paraId="085427FD" w14:textId="11B4620A"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23.05.2022.</w:t>
            </w:r>
          </w:p>
        </w:tc>
      </w:tr>
      <w:tr w:rsidR="00CF1DAB" w:rsidRPr="00EF2179" w14:paraId="44E4D1C3"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67670651" w14:textId="5B71D747" w:rsidR="00CF1DAB" w:rsidRPr="00EF2179" w:rsidRDefault="00CF1DAB" w:rsidP="00CF1DAB">
            <w:pPr>
              <w:spacing w:after="0" w:line="240" w:lineRule="auto"/>
              <w:ind w:firstLine="0"/>
              <w:rPr>
                <w:sz w:val="22"/>
                <w:lang w:val="sr-Cyrl-BA"/>
              </w:rPr>
            </w:pPr>
            <w:proofErr w:type="spellStart"/>
            <w:r>
              <w:rPr>
                <w:rFonts w:ascii="Times New Roman" w:hAnsi="Times New Roman"/>
                <w:sz w:val="22"/>
                <w:lang w:val="sr-Cyrl-BA"/>
              </w:rPr>
              <w:t>Факторис</w:t>
            </w:r>
            <w:proofErr w:type="spellEnd"/>
            <w:r>
              <w:rPr>
                <w:rFonts w:ascii="Times New Roman" w:hAnsi="Times New Roman"/>
                <w:sz w:val="22"/>
                <w:lang w:val="sr-Cyrl-BA"/>
              </w:rPr>
              <w:t xml:space="preserv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c>
          <w:tcPr>
            <w:tcW w:w="1843" w:type="dxa"/>
          </w:tcPr>
          <w:p w14:paraId="766A2F15" w14:textId="395CAFEF" w:rsidR="00CF1DAB" w:rsidRPr="00EF2179" w:rsidRDefault="00CF1DAB" w:rsidP="00CF1DAB">
            <w:pPr>
              <w:spacing w:after="0" w:line="240" w:lineRule="auto"/>
              <w:ind w:firstLine="0"/>
              <w:jc w:val="center"/>
              <w:rPr>
                <w:sz w:val="20"/>
                <w:szCs w:val="20"/>
                <w:lang w:val="ru-RU"/>
              </w:rPr>
            </w:pPr>
            <w:r w:rsidRPr="00A07D4D">
              <w:rPr>
                <w:rFonts w:ascii="Times New Roman" w:hAnsi="Times New Roman" w:cs="Times New Roman"/>
                <w:sz w:val="20"/>
                <w:szCs w:val="20"/>
                <w:lang w:val="ru-RU"/>
              </w:rPr>
              <w:t>01</w:t>
            </w:r>
            <w:r w:rsidRPr="00A07D4D">
              <w:rPr>
                <w:rFonts w:ascii="Times New Roman" w:hAnsi="Times New Roman" w:cs="Times New Roman"/>
                <w:sz w:val="20"/>
                <w:szCs w:val="20"/>
                <w:lang w:val="sr-Cyrl-CS"/>
              </w:rPr>
              <w:t>-УП</w:t>
            </w:r>
            <w:r w:rsidRPr="00A07D4D">
              <w:rPr>
                <w:rFonts w:ascii="Times New Roman" w:hAnsi="Times New Roman" w:cs="Times New Roman"/>
                <w:sz w:val="20"/>
                <w:szCs w:val="20"/>
                <w:lang w:val="ru-RU"/>
              </w:rPr>
              <w:t>-</w:t>
            </w:r>
            <w:r w:rsidRPr="00A07D4D">
              <w:rPr>
                <w:rFonts w:ascii="Times New Roman" w:hAnsi="Times New Roman" w:cs="Times New Roman"/>
                <w:sz w:val="20"/>
                <w:szCs w:val="20"/>
                <w:lang w:val="sr-Latn-BA"/>
              </w:rPr>
              <w:t>52-</w:t>
            </w:r>
            <w:r w:rsidRPr="00A07D4D">
              <w:rPr>
                <w:rFonts w:ascii="Times New Roman" w:hAnsi="Times New Roman" w:cs="Times New Roman"/>
                <w:sz w:val="20"/>
                <w:szCs w:val="20"/>
                <w:lang w:val="sr-Cyrl-BA"/>
              </w:rPr>
              <w:t>227</w:t>
            </w:r>
            <w:r w:rsidRPr="00A07D4D">
              <w:rPr>
                <w:rFonts w:ascii="Times New Roman" w:hAnsi="Times New Roman" w:cs="Times New Roman"/>
                <w:sz w:val="20"/>
                <w:szCs w:val="20"/>
                <w:lang w:val="sr-Latn-BA"/>
              </w:rPr>
              <w:t>-2/</w:t>
            </w:r>
            <w:r w:rsidRPr="00A07D4D">
              <w:rPr>
                <w:rFonts w:ascii="Times New Roman" w:hAnsi="Times New Roman" w:cs="Times New Roman"/>
                <w:sz w:val="20"/>
                <w:szCs w:val="20"/>
                <w:lang w:val="sr-Cyrl-BA"/>
              </w:rPr>
              <w:t>23</w:t>
            </w:r>
          </w:p>
        </w:tc>
        <w:tc>
          <w:tcPr>
            <w:tcW w:w="1178" w:type="dxa"/>
          </w:tcPr>
          <w:p w14:paraId="629D3AC7" w14:textId="33D6484E" w:rsidR="00CF1DAB" w:rsidRPr="00EF2179" w:rsidRDefault="00CF1DAB" w:rsidP="00CF1DAB">
            <w:pPr>
              <w:spacing w:after="0" w:line="240" w:lineRule="auto"/>
              <w:ind w:firstLine="0"/>
              <w:jc w:val="center"/>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 xml:space="preserve">24.04.2023. </w:t>
            </w:r>
          </w:p>
        </w:tc>
      </w:tr>
    </w:tbl>
    <w:p w14:paraId="77C8962C" w14:textId="1C3B4101" w:rsidR="008A17F3" w:rsidRDefault="008A17F3" w:rsidP="008A17F3">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C64B5B">
        <w:rPr>
          <w:rFonts w:ascii="Times New Roman" w:hAnsi="Times New Roman"/>
          <w:noProof/>
          <w:sz w:val="24"/>
          <w:lang w:val="sr-Cyrl-BA"/>
        </w:rPr>
        <w:t>15</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r w:rsidRPr="001F0CAD">
        <w:rPr>
          <w:rFonts w:ascii="Times New Roman" w:hAnsi="Times New Roman"/>
          <w:b w:val="0"/>
          <w:noProof/>
          <w:sz w:val="24"/>
          <w:szCs w:val="24"/>
          <w:lang w:val="sr-Cyrl-BA"/>
        </w:rPr>
        <w:t>Преглед друштава за факторинг који имају дозволу на дан 31.12.</w:t>
      </w:r>
      <w:r w:rsidR="00CF1DAB">
        <w:rPr>
          <w:rFonts w:ascii="Times New Roman" w:hAnsi="Times New Roman"/>
          <w:b w:val="0"/>
          <w:noProof/>
          <w:sz w:val="24"/>
          <w:szCs w:val="24"/>
          <w:lang w:val="sr-Cyrl-BA"/>
        </w:rPr>
        <w:t>2023</w:t>
      </w:r>
      <w:r w:rsidRPr="001F0CAD">
        <w:rPr>
          <w:rFonts w:ascii="Times New Roman" w:hAnsi="Times New Roman"/>
          <w:b w:val="0"/>
          <w:noProof/>
          <w:sz w:val="24"/>
          <w:szCs w:val="24"/>
          <w:lang w:val="sr-Cyrl-BA"/>
        </w:rPr>
        <w:t>. године</w:t>
      </w:r>
    </w:p>
    <w:p w14:paraId="44573615" w14:textId="7753F3AD" w:rsidR="00CF1DAB" w:rsidRDefault="00CF1DAB" w:rsidP="00CF1DAB">
      <w:pPr>
        <w:spacing w:after="0" w:line="240" w:lineRule="auto"/>
        <w:ind w:firstLine="567"/>
        <w:rPr>
          <w:lang w:val="sr-Cyrl-BA" w:eastAsia="sr-Latn-CS"/>
        </w:rPr>
      </w:pPr>
      <w:r w:rsidRPr="00DB5F5C">
        <w:rPr>
          <w:lang w:val="sr-Cyrl-BA" w:eastAsia="sr-Latn-CS"/>
        </w:rPr>
        <w:t xml:space="preserve">У </w:t>
      </w:r>
      <w:r>
        <w:rPr>
          <w:lang w:val="sr-Cyrl-BA" w:eastAsia="sr-Latn-CS"/>
        </w:rPr>
        <w:t>2023. години</w:t>
      </w:r>
      <w:r w:rsidRPr="00DB5F5C">
        <w:rPr>
          <w:lang w:val="sr-Cyrl-BA" w:eastAsia="sr-Latn-CS"/>
        </w:rPr>
        <w:t xml:space="preserve"> усвојена је једна иницијатива за измјену Закона о </w:t>
      </w:r>
      <w:proofErr w:type="spellStart"/>
      <w:r w:rsidRPr="00DB5F5C">
        <w:rPr>
          <w:lang w:val="sr-Cyrl-BA"/>
        </w:rPr>
        <w:t>факторингу</w:t>
      </w:r>
      <w:proofErr w:type="spellEnd"/>
      <w:r w:rsidRPr="00DB5F5C">
        <w:rPr>
          <w:lang w:val="sr-Cyrl-BA" w:eastAsia="sr-Latn-CS"/>
        </w:rPr>
        <w:t xml:space="preserve"> и  један став у вези са примјеном члана 38. став 4. и члана 39. став 1. тачка 3. Закона о </w:t>
      </w:r>
      <w:proofErr w:type="spellStart"/>
      <w:r w:rsidRPr="00DB5F5C">
        <w:rPr>
          <w:lang w:val="sr-Cyrl-BA" w:eastAsia="sr-Latn-CS"/>
        </w:rPr>
        <w:t>факторингу</w:t>
      </w:r>
      <w:proofErr w:type="spellEnd"/>
      <w:r w:rsidRPr="00DB5F5C">
        <w:rPr>
          <w:lang w:val="sr-Cyrl-BA" w:eastAsia="sr-Latn-CS"/>
        </w:rPr>
        <w:t>.</w:t>
      </w:r>
    </w:p>
    <w:p w14:paraId="55735380" w14:textId="536BE54D" w:rsidR="00CF1DAB" w:rsidRPr="00CF1DAB" w:rsidRDefault="00CF1DAB" w:rsidP="00CF1DAB">
      <w:pPr>
        <w:spacing w:after="0" w:line="240" w:lineRule="auto"/>
        <w:ind w:firstLine="567"/>
        <w:rPr>
          <w:lang w:val="sr-Cyrl-BA" w:eastAsia="sr-Latn-CS"/>
        </w:rPr>
      </w:pPr>
      <w:r w:rsidRPr="00DB5F5C">
        <w:rPr>
          <w:lang w:val="sr-Cyrl-BA"/>
        </w:rPr>
        <w:t xml:space="preserve">У циљу промоције и развоја тржишта </w:t>
      </w:r>
      <w:proofErr w:type="spellStart"/>
      <w:r w:rsidRPr="00DB5F5C">
        <w:rPr>
          <w:lang w:val="sr-Cyrl-BA"/>
        </w:rPr>
        <w:t>факторинга</w:t>
      </w:r>
      <w:proofErr w:type="spellEnd"/>
      <w:r w:rsidRPr="00DB5F5C">
        <w:rPr>
          <w:lang w:val="sr-Cyrl-BA"/>
        </w:rPr>
        <w:t xml:space="preserve"> у Републици Српској, сви подносиоци захтјева за оснивање друштава за </w:t>
      </w:r>
      <w:proofErr w:type="spellStart"/>
      <w:r w:rsidRPr="00DB5F5C">
        <w:rPr>
          <w:lang w:val="sr-Cyrl-BA"/>
        </w:rPr>
        <w:t>факторинг</w:t>
      </w:r>
      <w:proofErr w:type="spellEnd"/>
      <w:r w:rsidRPr="00DB5F5C">
        <w:rPr>
          <w:lang w:val="sr-Cyrl-BA"/>
        </w:rPr>
        <w:t>, који поднесу захтјев до 31.12.2023. године, ослобађају се од обавезе плаћања накнада Комисији за хартије од вриједности Републике Српске</w:t>
      </w:r>
      <w:r w:rsidRPr="00DB5F5C">
        <w:rPr>
          <w:lang w:val="sr-Latn-BA"/>
        </w:rPr>
        <w:t xml:space="preserve">, </w:t>
      </w:r>
      <w:r w:rsidRPr="00DB5F5C">
        <w:rPr>
          <w:lang w:val="sr-Cyrl-BA"/>
        </w:rPr>
        <w:t xml:space="preserve">а које се плаћају у поступку оснивања друштва за </w:t>
      </w:r>
      <w:proofErr w:type="spellStart"/>
      <w:r w:rsidRPr="00DB5F5C">
        <w:rPr>
          <w:lang w:val="sr-Cyrl-BA"/>
        </w:rPr>
        <w:t>факторинг</w:t>
      </w:r>
      <w:proofErr w:type="spellEnd"/>
      <w:r>
        <w:rPr>
          <w:lang w:val="sr-Cyrl-BA" w:eastAsia="sr-Latn-CS"/>
        </w:rPr>
        <w:t>.</w:t>
      </w:r>
    </w:p>
    <w:p w14:paraId="50D7D185"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67" w:name="_Toc167960433"/>
      <w:r w:rsidRPr="00EC6422">
        <w:rPr>
          <w:rFonts w:ascii="Times New Roman" w:hAnsi="Times New Roman"/>
          <w:sz w:val="24"/>
          <w:lang w:val="sr-Cyrl-BA"/>
        </w:rPr>
        <w:t>Испити за стицање звања</w:t>
      </w:r>
      <w:bookmarkEnd w:id="67"/>
    </w:p>
    <w:p w14:paraId="028DA99F" w14:textId="32CCED1A" w:rsidR="009628CE" w:rsidRPr="00EC6422" w:rsidRDefault="009628CE" w:rsidP="006B6E0C">
      <w:pPr>
        <w:spacing w:after="0" w:line="240" w:lineRule="auto"/>
        <w:ind w:firstLine="567"/>
        <w:rPr>
          <w:lang w:val="sr-Cyrl-BA"/>
        </w:rPr>
      </w:pPr>
      <w:r w:rsidRPr="00EC6422">
        <w:rPr>
          <w:lang w:val="sr-Cyrl-BA"/>
        </w:rPr>
        <w:t>У складу са чланом 93. Закона о тржишту хартија од вриједности и одредбама Правилника о условима и поступку стицања звања и добијања дозволе за обављање послова брокера, инвестиционог савјетника и инвестиционог менаџера</w:t>
      </w:r>
      <w:r w:rsidR="00730BD2">
        <w:rPr>
          <w:rStyle w:val="FootnoteReference"/>
          <w:lang w:val="sr-Cyrl-BA"/>
        </w:rPr>
        <w:footnoteReference w:id="16"/>
      </w:r>
      <w:r w:rsidR="00730BD2">
        <w:rPr>
          <w:lang w:val="sr-Cyrl-BA"/>
        </w:rPr>
        <w:t xml:space="preserve"> </w:t>
      </w:r>
      <w:r w:rsidRPr="00EC6422">
        <w:rPr>
          <w:lang w:val="sr-Cyrl-BA"/>
        </w:rPr>
        <w:t>Комисија за хартије од вриједности организује и проводи припреме и организује полагање стручних испита за стицање звања брокера, инвестиционог савјетника и инвестиционог менаџера.</w:t>
      </w:r>
    </w:p>
    <w:p w14:paraId="0FB0E51F" w14:textId="791E3497" w:rsidR="009628CE" w:rsidRPr="00EC6422" w:rsidRDefault="009628CE" w:rsidP="006B6E0C">
      <w:pPr>
        <w:spacing w:after="0" w:line="240" w:lineRule="auto"/>
        <w:ind w:firstLine="567"/>
        <w:rPr>
          <w:lang w:val="sr-Cyrl-BA"/>
        </w:rPr>
      </w:pPr>
      <w:r w:rsidRPr="00EC6422">
        <w:rPr>
          <w:lang w:val="sr-Cyrl-BA"/>
        </w:rPr>
        <w:t xml:space="preserve">У складу са Одлуком о утврђивању испитних рокова у </w:t>
      </w:r>
      <w:r w:rsidR="00A95C69">
        <w:rPr>
          <w:lang w:val="sr-Cyrl-BA"/>
        </w:rPr>
        <w:t>202</w:t>
      </w:r>
      <w:r w:rsidR="00BF5474">
        <w:rPr>
          <w:lang w:val="sr-Latn-BA"/>
        </w:rPr>
        <w:t>3</w:t>
      </w:r>
      <w:r w:rsidRPr="00EC6422">
        <w:rPr>
          <w:lang w:val="sr-Cyrl-BA"/>
        </w:rPr>
        <w:t>. години, испитни рокови за полагање испита за стицање звања инвестиционог менаџера, инвестиционог савјетника и брокера су организовани једном мјесечно. Испити су одржавани у складу са пристиглим пријавама за одређени испитни рок.</w:t>
      </w:r>
    </w:p>
    <w:p w14:paraId="10D59D14" w14:textId="44742487" w:rsidR="00E072A1" w:rsidRDefault="00BF5474" w:rsidP="009813BA">
      <w:pPr>
        <w:spacing w:after="0" w:line="240" w:lineRule="auto"/>
        <w:ind w:firstLine="567"/>
        <w:rPr>
          <w:lang w:val="sr-Cyrl-BA"/>
        </w:rPr>
      </w:pPr>
      <w:r w:rsidRPr="006A7D30">
        <w:rPr>
          <w:noProof/>
          <w:lang w:val="sr-Cyrl-BA"/>
        </w:rPr>
        <w:lastRenderedPageBreak/>
        <w:t xml:space="preserve">У 2023. години одржан је </w:t>
      </w:r>
      <w:r>
        <w:rPr>
          <w:noProof/>
          <w:lang w:val="sr-Cyrl-BA"/>
        </w:rPr>
        <w:t>један</w:t>
      </w:r>
      <w:r w:rsidRPr="006A7D30">
        <w:rPr>
          <w:noProof/>
          <w:lang w:val="sr-Cyrl-BA"/>
        </w:rPr>
        <w:t xml:space="preserve"> испитни рок на којем је </w:t>
      </w:r>
      <w:r>
        <w:rPr>
          <w:noProof/>
          <w:lang w:val="sr-Cyrl-BA"/>
        </w:rPr>
        <w:t>један</w:t>
      </w:r>
      <w:r w:rsidRPr="006A7D30">
        <w:rPr>
          <w:noProof/>
          <w:lang w:val="sr-Cyrl-BA"/>
        </w:rPr>
        <w:t xml:space="preserve"> кандидат полагао испит за стицање звања брокер и </w:t>
      </w:r>
      <w:r>
        <w:rPr>
          <w:noProof/>
          <w:lang w:val="sr-Cyrl-BA"/>
        </w:rPr>
        <w:t xml:space="preserve">један </w:t>
      </w:r>
      <w:r w:rsidRPr="006A7D30">
        <w:rPr>
          <w:noProof/>
          <w:lang w:val="sr-Cyrl-BA"/>
        </w:rPr>
        <w:t xml:space="preserve">кандидат полагао испит за стицање звања инвестициони менаџер. Након обраде резултата урађених тестова, утврђено је да испит за стицање </w:t>
      </w:r>
      <w:r w:rsidRPr="006A7D30">
        <w:rPr>
          <w:lang w:val="sr-Cyrl-BA"/>
        </w:rPr>
        <w:t>звања</w:t>
      </w:r>
      <w:r w:rsidRPr="006A7D30">
        <w:rPr>
          <w:noProof/>
          <w:lang w:val="sr-Cyrl-BA"/>
        </w:rPr>
        <w:t xml:space="preserve"> брокер </w:t>
      </w:r>
      <w:r w:rsidR="00A277DE">
        <w:rPr>
          <w:noProof/>
          <w:lang w:val="sr-Cyrl-BA"/>
        </w:rPr>
        <w:t xml:space="preserve">кандидат </w:t>
      </w:r>
      <w:r w:rsidRPr="006A7D30">
        <w:rPr>
          <w:noProof/>
          <w:lang w:val="sr-Cyrl-BA"/>
        </w:rPr>
        <w:t>није положио</w:t>
      </w:r>
      <w:r w:rsidR="00A277DE">
        <w:rPr>
          <w:noProof/>
          <w:lang w:val="sr-Cyrl-BA"/>
        </w:rPr>
        <w:t xml:space="preserve"> испит</w:t>
      </w:r>
      <w:r w:rsidRPr="006A7D30">
        <w:rPr>
          <w:noProof/>
          <w:lang w:val="sr-Cyrl-BA"/>
        </w:rPr>
        <w:t xml:space="preserve">, а за стицање звања инвестициони менџер </w:t>
      </w:r>
      <w:r w:rsidR="00A277DE">
        <w:rPr>
          <w:noProof/>
          <w:lang w:val="sr-Cyrl-BA"/>
        </w:rPr>
        <w:t xml:space="preserve">кандидат је </w:t>
      </w:r>
      <w:r w:rsidRPr="006A7D30">
        <w:rPr>
          <w:noProof/>
          <w:lang w:val="sr-Cyrl-BA"/>
        </w:rPr>
        <w:t xml:space="preserve">положио </w:t>
      </w:r>
      <w:r w:rsidR="00A277DE">
        <w:rPr>
          <w:noProof/>
          <w:lang w:val="sr-Cyrl-BA"/>
        </w:rPr>
        <w:t>испит</w:t>
      </w:r>
      <w:r>
        <w:rPr>
          <w:lang w:val="sr-Cyrl-BA"/>
        </w:rPr>
        <w:t>.</w:t>
      </w:r>
    </w:p>
    <w:p w14:paraId="70E65276" w14:textId="6855B93D" w:rsidR="009813BA" w:rsidRPr="009813BA" w:rsidRDefault="009813BA" w:rsidP="009813BA">
      <w:pPr>
        <w:pStyle w:val="Heading2"/>
        <w:spacing w:before="240" w:after="0" w:line="240" w:lineRule="auto"/>
        <w:ind w:left="578" w:hanging="578"/>
        <w:rPr>
          <w:rFonts w:ascii="Times New Roman" w:hAnsi="Times New Roman"/>
          <w:sz w:val="24"/>
          <w:lang w:val="sr-Cyrl-BA"/>
        </w:rPr>
      </w:pPr>
      <w:bookmarkStart w:id="68" w:name="_Toc167960434"/>
      <w:bookmarkStart w:id="69" w:name="_Hlk144893653"/>
      <w:r w:rsidRPr="009813BA">
        <w:rPr>
          <w:rFonts w:ascii="Times New Roman" w:hAnsi="Times New Roman"/>
          <w:sz w:val="24"/>
          <w:lang w:val="sr-Cyrl-BA"/>
        </w:rPr>
        <w:t xml:space="preserve">Евиденција </w:t>
      </w:r>
      <w:proofErr w:type="spellStart"/>
      <w:r w:rsidRPr="009813BA">
        <w:rPr>
          <w:rFonts w:ascii="Times New Roman" w:hAnsi="Times New Roman"/>
          <w:sz w:val="24"/>
          <w:lang w:val="sr-Cyrl-BA"/>
        </w:rPr>
        <w:t>пружалаца</w:t>
      </w:r>
      <w:proofErr w:type="spellEnd"/>
      <w:r w:rsidRPr="009813BA">
        <w:rPr>
          <w:rFonts w:ascii="Times New Roman" w:hAnsi="Times New Roman"/>
          <w:sz w:val="24"/>
          <w:lang w:val="sr-Cyrl-BA"/>
        </w:rPr>
        <w:t xml:space="preserve"> услуга повезаних са виртуелним валутама</w:t>
      </w:r>
      <w:bookmarkEnd w:id="68"/>
    </w:p>
    <w:p w14:paraId="4EF67A31" w14:textId="1FB4029E" w:rsidR="009813BA" w:rsidRDefault="009813BA" w:rsidP="009813BA">
      <w:pPr>
        <w:spacing w:after="0" w:line="240" w:lineRule="auto"/>
        <w:ind w:firstLine="567"/>
        <w:rPr>
          <w:rFonts w:asciiTheme="minorHAnsi" w:eastAsia="Calibri" w:hAnsiTheme="minorHAnsi"/>
          <w:lang w:val="sr-Cyrl-BA"/>
        </w:rPr>
      </w:pPr>
      <w:r>
        <w:rPr>
          <w:bCs/>
          <w:lang w:val="sr-Cyrl-BA"/>
        </w:rPr>
        <w:t>Законом о измјенама и допунама Закона о тржишту хартија од вриједности који је објављен у Службеном гласнику Републике Српске дана 05.07.2022. године,</w:t>
      </w:r>
      <w:r>
        <w:rPr>
          <w:rStyle w:val="FootnoteReference"/>
          <w:bCs/>
          <w:lang w:val="sr-Cyrl-BA"/>
        </w:rPr>
        <w:footnoteReference w:id="17"/>
      </w:r>
      <w:r w:rsidRPr="00E22ED9">
        <w:rPr>
          <w:rFonts w:eastAsia="Calibri"/>
          <w:lang w:val="sr-Cyrl-BA"/>
        </w:rPr>
        <w:t xml:space="preserve"> </w:t>
      </w:r>
      <w:r w:rsidRPr="00162C11">
        <w:rPr>
          <w:rFonts w:eastAsia="Calibri"/>
          <w:lang w:val="sr-Cyrl-BA"/>
        </w:rPr>
        <w:t>Комисија је</w:t>
      </w:r>
      <w:r>
        <w:rPr>
          <w:rFonts w:asciiTheme="minorHAnsi" w:eastAsia="Calibri" w:hAnsiTheme="minorHAnsi"/>
          <w:lang w:val="sr-Cyrl-BA"/>
        </w:rPr>
        <w:t xml:space="preserve"> </w:t>
      </w:r>
      <w:r>
        <w:rPr>
          <w:rFonts w:eastAsia="Calibri"/>
          <w:lang w:val="sr-Cyrl-BA"/>
        </w:rPr>
        <w:t xml:space="preserve">одређена као надлежна да </w:t>
      </w:r>
      <w:r w:rsidR="00A277DE">
        <w:rPr>
          <w:rFonts w:eastAsia="Calibri"/>
          <w:lang w:val="sr-Cyrl-BA"/>
        </w:rPr>
        <w:t xml:space="preserve">води евиденцију вршилаца услуга повезаних са виртуелним валутама, те да </w:t>
      </w:r>
      <w:r>
        <w:rPr>
          <w:rFonts w:eastAsia="Calibri"/>
          <w:lang w:val="sr-Cyrl-BA"/>
        </w:rPr>
        <w:t xml:space="preserve">врши надзор </w:t>
      </w:r>
      <w:r w:rsidRPr="009813BA">
        <w:rPr>
          <w:lang w:val="sr-Cyrl-BA"/>
        </w:rPr>
        <w:t>усклађености</w:t>
      </w:r>
      <w:r>
        <w:rPr>
          <w:rFonts w:eastAsia="Calibri"/>
          <w:lang w:val="sr-Cyrl-BA"/>
        </w:rPr>
        <w:t xml:space="preserve"> пословања са законом и другим прописима којима се уређује </w:t>
      </w:r>
      <w:proofErr w:type="spellStart"/>
      <w:r>
        <w:rPr>
          <w:rFonts w:eastAsia="Calibri"/>
          <w:lang w:val="sr-Cyrl-BA"/>
        </w:rPr>
        <w:t>спречавање</w:t>
      </w:r>
      <w:proofErr w:type="spellEnd"/>
      <w:r>
        <w:rPr>
          <w:rFonts w:eastAsia="Calibri"/>
          <w:lang w:val="sr-Cyrl-BA"/>
        </w:rPr>
        <w:t xml:space="preserve"> прања новца и финансирања терористичких активности, да предузима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w:t>
      </w:r>
      <w:r>
        <w:rPr>
          <w:rFonts w:asciiTheme="minorHAnsi" w:eastAsia="Calibri" w:hAnsiTheme="minorHAnsi"/>
          <w:lang w:val="sr-Cyrl-BA"/>
        </w:rPr>
        <w:t>пс</w:t>
      </w:r>
      <w:r>
        <w:rPr>
          <w:rFonts w:eastAsia="Calibri"/>
          <w:lang w:val="sr-Cyrl-BA"/>
        </w:rPr>
        <w:t xml:space="preserve">кој, </w:t>
      </w:r>
    </w:p>
    <w:p w14:paraId="60BA976B" w14:textId="6A7C7EDC" w:rsidR="009813BA" w:rsidRDefault="009813BA" w:rsidP="009813BA">
      <w:pPr>
        <w:spacing w:after="0" w:line="240" w:lineRule="auto"/>
        <w:ind w:firstLine="567"/>
        <w:rPr>
          <w:rFonts w:asciiTheme="minorHAnsi" w:eastAsia="Calibri" w:hAnsiTheme="minorHAnsi"/>
          <w:lang w:val="sr-Cyrl-BA"/>
        </w:rPr>
      </w:pPr>
      <w:r w:rsidRPr="00162C11">
        <w:rPr>
          <w:lang w:val="sr-Latn-BA"/>
        </w:rPr>
        <w:t>Комисиј</w:t>
      </w:r>
      <w:r w:rsidRPr="00162C11">
        <w:rPr>
          <w:lang w:val="sr-Cyrl-BA"/>
        </w:rPr>
        <w:t>а</w:t>
      </w:r>
      <w:r w:rsidRPr="00162C11">
        <w:rPr>
          <w:lang w:val="sr-Latn-BA"/>
        </w:rPr>
        <w:t xml:space="preserve"> не издаје дозволу за рад</w:t>
      </w:r>
      <w:r>
        <w:rPr>
          <w:lang w:val="sr-Cyrl-BA"/>
        </w:rPr>
        <w:t xml:space="preserve"> </w:t>
      </w:r>
      <w:proofErr w:type="spellStart"/>
      <w:r>
        <w:rPr>
          <w:lang w:val="sr-Cyrl-BA"/>
        </w:rPr>
        <w:t>пружаоцима</w:t>
      </w:r>
      <w:proofErr w:type="spellEnd"/>
      <w:r>
        <w:rPr>
          <w:lang w:val="sr-Cyrl-BA"/>
        </w:rPr>
        <w:t xml:space="preserve"> услуга повезаних са виртуелним валутама</w:t>
      </w:r>
      <w:r w:rsidRPr="00162C11">
        <w:rPr>
          <w:lang w:val="sr-Latn-BA"/>
        </w:rPr>
        <w:t xml:space="preserve">, лицима запосленим код пружаоца услуга не издаје лиценцу за обављање тих послова, не утврђује услове регистрације привредног друштва у погледу минималног основног </w:t>
      </w:r>
      <w:r w:rsidRPr="009813BA">
        <w:rPr>
          <w:lang w:val="sr-Cyrl-BA"/>
        </w:rPr>
        <w:t>капитала</w:t>
      </w:r>
      <w:r w:rsidRPr="00771D9C">
        <w:rPr>
          <w:lang w:val="ru-RU"/>
        </w:rPr>
        <w:t xml:space="preserve"> </w:t>
      </w:r>
      <w:r w:rsidRPr="00162C11">
        <w:rPr>
          <w:lang w:val="sr-Latn-BA"/>
        </w:rPr>
        <w:t xml:space="preserve">за обављање дјелатности, не утврђује кадровску и техничку опремљеност пружаоца услуга </w:t>
      </w:r>
      <w:r w:rsidRPr="00771D9C">
        <w:rPr>
          <w:lang w:val="sr-Latn-BA"/>
        </w:rPr>
        <w:t>нити даје сагласност на акте које доноси пружалац услуга</w:t>
      </w:r>
      <w:r w:rsidRPr="00162C11">
        <w:rPr>
          <w:lang w:val="sr-Cyrl-BA"/>
        </w:rPr>
        <w:t>, већ</w:t>
      </w:r>
      <w:r w:rsidR="00A277DE">
        <w:rPr>
          <w:lang w:val="sr-Cyrl-BA"/>
        </w:rPr>
        <w:t xml:space="preserve"> исте евидентира и</w:t>
      </w:r>
      <w:r w:rsidRPr="00162C11">
        <w:rPr>
          <w:lang w:val="sr-Cyrl-BA"/>
        </w:rPr>
        <w:t xml:space="preserve"> искључиво </w:t>
      </w:r>
      <w:r w:rsidR="00A277DE">
        <w:rPr>
          <w:lang w:val="sr-Cyrl-BA"/>
        </w:rPr>
        <w:t xml:space="preserve">је </w:t>
      </w:r>
      <w:r w:rsidRPr="00162C11">
        <w:rPr>
          <w:lang w:val="sr-Cyrl-BA"/>
        </w:rPr>
        <w:t xml:space="preserve">надлежна да спроводи надзор усклађености пословања </w:t>
      </w:r>
      <w:proofErr w:type="spellStart"/>
      <w:r w:rsidRPr="00162C11">
        <w:rPr>
          <w:lang w:val="sr-Cyrl-BA"/>
        </w:rPr>
        <w:t>пружа</w:t>
      </w:r>
      <w:r>
        <w:rPr>
          <w:lang w:val="sr-Cyrl-BA"/>
        </w:rPr>
        <w:t>ла</w:t>
      </w:r>
      <w:r w:rsidRPr="00162C11">
        <w:rPr>
          <w:lang w:val="sr-Cyrl-BA"/>
        </w:rPr>
        <w:t>ца</w:t>
      </w:r>
      <w:proofErr w:type="spellEnd"/>
      <w:r w:rsidRPr="00162C11">
        <w:rPr>
          <w:lang w:val="sr-Cyrl-BA"/>
        </w:rPr>
        <w:t xml:space="preserve"> услуга повезаних са виртуелним валутама са законом и другим </w:t>
      </w:r>
      <w:r w:rsidRPr="00162C11">
        <w:rPr>
          <w:lang w:val="sr-Latn-BA"/>
        </w:rPr>
        <w:t>општим актима</w:t>
      </w:r>
      <w:r w:rsidRPr="00162C11">
        <w:rPr>
          <w:lang w:val="sr-Cyrl-BA"/>
        </w:rPr>
        <w:t xml:space="preserve"> којим се прописују обавезе провођења мјера за </w:t>
      </w:r>
      <w:proofErr w:type="spellStart"/>
      <w:r w:rsidRPr="00162C11">
        <w:rPr>
          <w:lang w:val="sr-Cyrl-BA"/>
        </w:rPr>
        <w:t>спречавање</w:t>
      </w:r>
      <w:proofErr w:type="spellEnd"/>
      <w:r w:rsidRPr="00162C11">
        <w:rPr>
          <w:lang w:val="sr-Cyrl-BA"/>
        </w:rPr>
        <w:t xml:space="preserve"> прања новца и финансирање терористичких активности</w:t>
      </w:r>
      <w:r w:rsidRPr="00771D9C">
        <w:rPr>
          <w:lang w:val="ru-RU"/>
        </w:rPr>
        <w:t xml:space="preserve">, </w:t>
      </w:r>
      <w:r>
        <w:rPr>
          <w:rFonts w:eastAsia="Calibri"/>
          <w:lang w:val="sr-Cyrl-BA"/>
        </w:rPr>
        <w:t xml:space="preserve">те да води евиденцију </w:t>
      </w:r>
      <w:proofErr w:type="spellStart"/>
      <w:r>
        <w:rPr>
          <w:rFonts w:eastAsia="Calibri"/>
          <w:lang w:val="sr-Cyrl-BA"/>
        </w:rPr>
        <w:t>пружалаца</w:t>
      </w:r>
      <w:proofErr w:type="spellEnd"/>
      <w:r>
        <w:rPr>
          <w:rFonts w:eastAsia="Calibri"/>
          <w:lang w:val="sr-Cyrl-BA"/>
        </w:rPr>
        <w:t xml:space="preserve"> услуга повезаних са виртуелним валутама</w:t>
      </w:r>
      <w:r>
        <w:rPr>
          <w:rFonts w:asciiTheme="minorHAnsi" w:eastAsia="Calibri" w:hAnsiTheme="minorHAnsi"/>
          <w:lang w:val="sr-Cyrl-BA"/>
        </w:rPr>
        <w:t>.</w:t>
      </w:r>
    </w:p>
    <w:p w14:paraId="1F6F2FC7" w14:textId="7582878F" w:rsidR="009813BA" w:rsidRPr="00BB517A" w:rsidRDefault="009813BA" w:rsidP="009813BA">
      <w:pPr>
        <w:spacing w:line="240" w:lineRule="auto"/>
        <w:ind w:firstLine="567"/>
        <w:rPr>
          <w:lang w:val="sr-Cyrl-BA"/>
        </w:rPr>
      </w:pPr>
      <w:r>
        <w:t xml:space="preserve">У </w:t>
      </w:r>
      <w:proofErr w:type="spellStart"/>
      <w:r>
        <w:t>складу</w:t>
      </w:r>
      <w:proofErr w:type="spellEnd"/>
      <w:r>
        <w:t xml:space="preserve"> </w:t>
      </w:r>
      <w:proofErr w:type="spellStart"/>
      <w:r>
        <w:t>са</w:t>
      </w:r>
      <w:proofErr w:type="spellEnd"/>
      <w:r>
        <w:t xml:space="preserve"> </w:t>
      </w:r>
      <w:proofErr w:type="spellStart"/>
      <w:r>
        <w:t>наведеним</w:t>
      </w:r>
      <w:proofErr w:type="spellEnd"/>
      <w:r>
        <w:t>,</w:t>
      </w:r>
      <w:r>
        <w:rPr>
          <w:lang w:val="sr-Cyrl-BA"/>
        </w:rPr>
        <w:t xml:space="preserve"> у 2023. години евидентирана су четири </w:t>
      </w:r>
      <w:proofErr w:type="spellStart"/>
      <w:r>
        <w:rPr>
          <w:lang w:val="sr-Cyrl-BA"/>
        </w:rPr>
        <w:t>пружаоца</w:t>
      </w:r>
      <w:proofErr w:type="spellEnd"/>
      <w:r>
        <w:rPr>
          <w:lang w:val="sr-Cyrl-BA"/>
        </w:rPr>
        <w:t xml:space="preserve"> услуга повезаних са виртуелним валутама</w:t>
      </w:r>
      <w:r>
        <w:rPr>
          <w:lang w:val="sr-Latn-BA"/>
        </w:rPr>
        <w:t xml:space="preserve">, </w:t>
      </w:r>
      <w:r>
        <w:rPr>
          <w:lang w:val="sr-Cyrl-BA"/>
        </w:rPr>
        <w:t xml:space="preserve">док је један захтјев, за упис у евиденцију </w:t>
      </w:r>
      <w:proofErr w:type="spellStart"/>
      <w:r>
        <w:rPr>
          <w:lang w:val="sr-Cyrl-BA"/>
        </w:rPr>
        <w:t>пружалаца</w:t>
      </w:r>
      <w:proofErr w:type="spellEnd"/>
      <w:r>
        <w:rPr>
          <w:lang w:val="sr-Cyrl-BA"/>
        </w:rPr>
        <w:t xml:space="preserve"> услуга повезаних са виртуелним валутама код Комисије, одбачен као неуредан.</w:t>
      </w:r>
    </w:p>
    <w:tbl>
      <w:tblPr>
        <w:tblStyle w:val="LightGrid-Accent11"/>
        <w:tblW w:w="8988" w:type="dxa"/>
        <w:tblInd w:w="108" w:type="dxa"/>
        <w:tblLayout w:type="fixed"/>
        <w:tblLook w:val="0420" w:firstRow="1" w:lastRow="0" w:firstColumn="0" w:lastColumn="0" w:noHBand="0" w:noVBand="1"/>
      </w:tblPr>
      <w:tblGrid>
        <w:gridCol w:w="8988"/>
      </w:tblGrid>
      <w:tr w:rsidR="009813BA" w:rsidRPr="001F0CAD" w14:paraId="1FF1BCE0" w14:textId="77777777" w:rsidTr="009813BA">
        <w:trPr>
          <w:cnfStyle w:val="100000000000" w:firstRow="1" w:lastRow="0" w:firstColumn="0" w:lastColumn="0" w:oddVBand="0" w:evenVBand="0" w:oddHBand="0" w:evenHBand="0" w:firstRowFirstColumn="0" w:firstRowLastColumn="0" w:lastRowFirstColumn="0" w:lastRowLastColumn="0"/>
          <w:trHeight w:val="280"/>
        </w:trPr>
        <w:tc>
          <w:tcPr>
            <w:tcW w:w="8988" w:type="dxa"/>
            <w:hideMark/>
          </w:tcPr>
          <w:p w14:paraId="0788A36A" w14:textId="77777777" w:rsidR="009813BA" w:rsidRPr="001F0CAD" w:rsidRDefault="009813BA" w:rsidP="007874B3">
            <w:pPr>
              <w:spacing w:line="240" w:lineRule="auto"/>
              <w:ind w:firstLine="0"/>
              <w:rPr>
                <w:rFonts w:ascii="Times New Roman" w:eastAsia="Times New Roman" w:hAnsi="Times New Roman" w:cs="Times New Roman"/>
                <w:sz w:val="20"/>
                <w:szCs w:val="20"/>
                <w:lang w:val="sr-Cyrl-BA" w:eastAsia="sr-Latn-CS"/>
              </w:rPr>
            </w:pPr>
            <w:r w:rsidRPr="001F0CAD">
              <w:rPr>
                <w:rFonts w:ascii="Times New Roman" w:hAnsi="Times New Roman" w:cs="Times New Roman"/>
                <w:sz w:val="20"/>
                <w:szCs w:val="20"/>
                <w:lang w:val="sr-Cyrl-BA"/>
              </w:rPr>
              <w:br w:type="page"/>
            </w:r>
            <w:r w:rsidRPr="001F0CAD">
              <w:rPr>
                <w:rFonts w:ascii="Times New Roman" w:eastAsia="Times New Roman" w:hAnsi="Times New Roman" w:cs="Times New Roman"/>
                <w:sz w:val="20"/>
                <w:szCs w:val="20"/>
                <w:lang w:val="sr-Cyrl-BA" w:eastAsia="sr-Latn-CS"/>
              </w:rPr>
              <w:t xml:space="preserve">Назив </w:t>
            </w:r>
          </w:p>
        </w:tc>
      </w:tr>
      <w:tr w:rsidR="009813BA" w:rsidRPr="001F0CAD" w14:paraId="2DE59C3E"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hideMark/>
          </w:tcPr>
          <w:p w14:paraId="17E7AD07" w14:textId="77777777" w:rsidR="009813BA" w:rsidRPr="00DB5F5C" w:rsidRDefault="009813BA" w:rsidP="007874B3">
            <w:pPr>
              <w:spacing w:after="60" w:line="240" w:lineRule="auto"/>
              <w:ind w:firstLine="0"/>
              <w:rPr>
                <w:rFonts w:ascii="Times New Roman" w:eastAsia="Times New Roman" w:hAnsi="Times New Roman" w:cs="Times New Roman"/>
                <w:sz w:val="20"/>
                <w:szCs w:val="20"/>
                <w:lang w:val="sr-Cyrl-BA" w:eastAsia="sr-Latn-CS"/>
              </w:rPr>
            </w:pPr>
            <w:r>
              <w:rPr>
                <w:rFonts w:ascii="Times New Roman" w:hAnsi="Times New Roman"/>
                <w:sz w:val="22"/>
                <w:lang w:val="sr-Cyrl-BA"/>
              </w:rPr>
              <w:t>„</w:t>
            </w:r>
            <w:r>
              <w:rPr>
                <w:rFonts w:ascii="Times New Roman" w:hAnsi="Times New Roman"/>
                <w:sz w:val="22"/>
                <w:lang w:val="sr-Latn-BA"/>
              </w:rPr>
              <w:t>Digital Asset Management</w:t>
            </w:r>
            <w:r>
              <w:rPr>
                <w:rFonts w:ascii="Times New Roman" w:hAnsi="Times New Roman"/>
                <w:sz w:val="22"/>
                <w:lang w:val="sr-Cyrl-BA"/>
              </w:rPr>
              <w:t xml:space="preserv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r>
              <w:rPr>
                <w:rFonts w:ascii="Times New Roman" w:hAnsi="Times New Roman"/>
                <w:sz w:val="22"/>
                <w:lang w:val="sr-Latn-BA"/>
              </w:rPr>
              <w:t xml:space="preserve"> </w:t>
            </w:r>
          </w:p>
        </w:tc>
      </w:tr>
      <w:tr w:rsidR="009813BA" w:rsidRPr="001F0CAD" w14:paraId="2AA12C1A"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5CA7C0ED" w14:textId="77777777" w:rsidR="009813BA" w:rsidRPr="00DB5F5C" w:rsidRDefault="009813BA" w:rsidP="007874B3">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Tesla Trade“ </w:t>
            </w:r>
            <w:proofErr w:type="spellStart"/>
            <w:r>
              <w:rPr>
                <w:rFonts w:ascii="Times New Roman" w:hAnsi="Times New Roman"/>
                <w:sz w:val="22"/>
                <w:lang w:val="sr-Cyrl-BA"/>
              </w:rPr>
              <w:t>д.о.о</w:t>
            </w:r>
            <w:proofErr w:type="spellEnd"/>
            <w:r>
              <w:rPr>
                <w:rFonts w:ascii="Times New Roman" w:hAnsi="Times New Roman"/>
                <w:sz w:val="22"/>
                <w:lang w:val="sr-Cyrl-BA"/>
              </w:rPr>
              <w:t>. Бијељина</w:t>
            </w:r>
          </w:p>
        </w:tc>
      </w:tr>
      <w:tr w:rsidR="009813BA" w:rsidRPr="001F0CAD" w14:paraId="317B6BA6"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0425996C" w14:textId="77777777" w:rsidR="009813BA" w:rsidRPr="00DB5F5C" w:rsidRDefault="009813BA" w:rsidP="007874B3">
            <w:pPr>
              <w:spacing w:after="60" w:line="240" w:lineRule="auto"/>
              <w:ind w:firstLine="0"/>
              <w:rPr>
                <w:rFonts w:ascii="Times New Roman" w:hAnsi="Times New Roman"/>
                <w:sz w:val="22"/>
                <w:lang w:val="sr-Cyrl-BA"/>
              </w:rPr>
            </w:pPr>
            <w:r>
              <w:rPr>
                <w:rFonts w:ascii="Times New Roman" w:hAnsi="Times New Roman"/>
                <w:sz w:val="22"/>
                <w:lang w:val="sr-Latn-BA"/>
              </w:rPr>
              <w:t xml:space="preserve">„Digital Crypto Exchange“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r>
      <w:tr w:rsidR="009813BA" w:rsidRPr="001F0CAD" w14:paraId="5BA85060"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66DD879C" w14:textId="77777777" w:rsidR="009813BA" w:rsidRPr="00DB5F5C" w:rsidRDefault="009813BA" w:rsidP="007874B3">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Crypto Trading Management Servis“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r>
    </w:tbl>
    <w:p w14:paraId="69E3D1E0" w14:textId="57A9B9B5" w:rsidR="009813BA" w:rsidRDefault="009813BA" w:rsidP="009813BA">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C64B5B">
        <w:rPr>
          <w:rFonts w:ascii="Times New Roman" w:hAnsi="Times New Roman"/>
          <w:noProof/>
          <w:sz w:val="24"/>
          <w:lang w:val="sr-Cyrl-BA"/>
        </w:rPr>
        <w:t>16</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r w:rsidRPr="001F0CAD">
        <w:rPr>
          <w:rFonts w:ascii="Times New Roman" w:hAnsi="Times New Roman"/>
          <w:b w:val="0"/>
          <w:noProof/>
          <w:sz w:val="24"/>
          <w:szCs w:val="24"/>
          <w:lang w:val="sr-Cyrl-BA"/>
        </w:rPr>
        <w:t xml:space="preserve">Преглед </w:t>
      </w:r>
      <w:r>
        <w:rPr>
          <w:rFonts w:ascii="Times New Roman" w:hAnsi="Times New Roman"/>
          <w:b w:val="0"/>
          <w:noProof/>
          <w:sz w:val="24"/>
          <w:szCs w:val="24"/>
          <w:lang w:val="sr-Cyrl-BA"/>
        </w:rPr>
        <w:t xml:space="preserve">пружалаца услуга повезаних са виртуелним валутама </w:t>
      </w:r>
      <w:r w:rsidRPr="001F0CAD">
        <w:rPr>
          <w:rFonts w:ascii="Times New Roman" w:hAnsi="Times New Roman"/>
          <w:b w:val="0"/>
          <w:noProof/>
          <w:sz w:val="24"/>
          <w:szCs w:val="24"/>
          <w:lang w:val="sr-Cyrl-BA"/>
        </w:rPr>
        <w:t xml:space="preserve">на дан </w:t>
      </w:r>
      <w:r>
        <w:rPr>
          <w:rFonts w:ascii="Times New Roman" w:hAnsi="Times New Roman"/>
          <w:b w:val="0"/>
          <w:noProof/>
          <w:sz w:val="24"/>
          <w:szCs w:val="24"/>
          <w:lang w:val="sr-Cyrl-BA"/>
        </w:rPr>
        <w:t>31.12.2023</w:t>
      </w:r>
      <w:r w:rsidRPr="001F0CAD">
        <w:rPr>
          <w:rFonts w:ascii="Times New Roman" w:hAnsi="Times New Roman"/>
          <w:b w:val="0"/>
          <w:noProof/>
          <w:sz w:val="24"/>
          <w:szCs w:val="24"/>
          <w:lang w:val="sr-Cyrl-BA"/>
        </w:rPr>
        <w:t>. године</w:t>
      </w:r>
    </w:p>
    <w:bookmarkEnd w:id="69"/>
    <w:p w14:paraId="7669BFC3" w14:textId="12C8F83F" w:rsidR="009813BA" w:rsidRDefault="009813BA" w:rsidP="00BF5474">
      <w:pPr>
        <w:rPr>
          <w:lang w:val="sr-Cyrl-BA"/>
        </w:rPr>
      </w:pPr>
      <w:r>
        <w:rPr>
          <w:lang w:val="sr-Cyrl-BA"/>
        </w:rPr>
        <w:t>У 2023. години Комисија је усвојила један одговор на упит у вези са регистрацијом дјелатности мјењачнице.</w:t>
      </w:r>
    </w:p>
    <w:p w14:paraId="42E8577D" w14:textId="77777777" w:rsidR="00C82038" w:rsidRPr="008A17F3" w:rsidRDefault="00C82038" w:rsidP="00BF5474">
      <w:pPr>
        <w:rPr>
          <w:lang w:val="sr-Cyrl-BA"/>
        </w:rPr>
      </w:pPr>
    </w:p>
    <w:p w14:paraId="399935D4" w14:textId="77777777" w:rsidR="009628CE" w:rsidRPr="00EC6422" w:rsidRDefault="009628CE" w:rsidP="006B6E0C">
      <w:pPr>
        <w:pStyle w:val="Heading1"/>
        <w:shd w:val="clear" w:color="auto" w:fill="auto"/>
        <w:spacing w:before="360" w:line="240" w:lineRule="auto"/>
        <w:ind w:left="709" w:hanging="709"/>
        <w:rPr>
          <w:rFonts w:ascii="Times New Roman" w:hAnsi="Times New Roman"/>
          <w:caps w:val="0"/>
          <w:color w:val="002060"/>
          <w:lang w:val="sr-Cyrl-BA"/>
        </w:rPr>
      </w:pPr>
      <w:bookmarkStart w:id="70" w:name="_Toc321408899"/>
      <w:bookmarkStart w:id="71" w:name="_Toc167960435"/>
      <w:r w:rsidRPr="00EC6422">
        <w:rPr>
          <w:rFonts w:ascii="Times New Roman" w:hAnsi="Times New Roman"/>
          <w:caps w:val="0"/>
          <w:color w:val="002060"/>
          <w:lang w:val="sr-Cyrl-BA"/>
        </w:rPr>
        <w:lastRenderedPageBreak/>
        <w:t>РАЗВОЈ И МЕЂУНАРОДНА САРАДЊА</w:t>
      </w:r>
      <w:bookmarkEnd w:id="70"/>
      <w:bookmarkEnd w:id="71"/>
    </w:p>
    <w:p w14:paraId="45B2C7E1" w14:textId="40C8FD22" w:rsidR="009628CE" w:rsidRPr="00EC6422" w:rsidRDefault="009628CE" w:rsidP="006B6E0C">
      <w:pPr>
        <w:spacing w:after="0" w:line="240" w:lineRule="auto"/>
        <w:ind w:firstLine="567"/>
        <w:rPr>
          <w:lang w:val="sr-Cyrl-BA"/>
        </w:rPr>
      </w:pPr>
      <w:r w:rsidRPr="00EC6422">
        <w:rPr>
          <w:lang w:val="sr-Cyrl-BA"/>
        </w:rPr>
        <w:t xml:space="preserve">У </w:t>
      </w:r>
      <w:r w:rsidR="001B7591">
        <w:rPr>
          <w:lang w:val="sr-Cyrl-BA"/>
        </w:rPr>
        <w:t>2023</w:t>
      </w:r>
      <w:r w:rsidRPr="00EC6422">
        <w:rPr>
          <w:lang w:val="sr-Cyrl-BA"/>
        </w:rPr>
        <w:t>. години највећи дио активности Комисије у области развоја и међународне сарадње биле су посвећене:</w:t>
      </w:r>
    </w:p>
    <w:p w14:paraId="76AACF9D"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праћењу регулативе и праксе у дјелокругу рада Комисије, </w:t>
      </w:r>
    </w:p>
    <w:p w14:paraId="11EBA1D0"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праћењу регулативе и праксе других области које су директно или индиректно везане за тржиште хартија од вриједности и/или активности Комисије,</w:t>
      </w:r>
    </w:p>
    <w:p w14:paraId="17AB7212"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анализирању и предлагању рјешења и приједлога за измјену/допуну постојеће регулативе или приједлога нових општих аката Комисије,</w:t>
      </w:r>
    </w:p>
    <w:p w14:paraId="2743D749"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анализи учесника и (нових) финансијских инструмената на тржишту хартија од вриједности,</w:t>
      </w:r>
    </w:p>
    <w:p w14:paraId="70A6CE94"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сарадњи са Међународном организацијом </w:t>
      </w:r>
      <w:r w:rsidR="004979D7" w:rsidRPr="00EC6422">
        <w:rPr>
          <w:lang w:val="sr-Cyrl-BA"/>
        </w:rPr>
        <w:t>к</w:t>
      </w:r>
      <w:r w:rsidRPr="00EC6422">
        <w:rPr>
          <w:lang w:val="sr-Cyrl-BA"/>
        </w:rPr>
        <w:t>омисија за хартије од вриједности (</w:t>
      </w:r>
      <w:proofErr w:type="spellStart"/>
      <w:r w:rsidRPr="00EC6422">
        <w:rPr>
          <w:lang w:val="sr-Cyrl-BA"/>
        </w:rPr>
        <w:t>енг</w:t>
      </w:r>
      <w:proofErr w:type="spellEnd"/>
      <w:r w:rsidRPr="00EC6422">
        <w:rPr>
          <w:lang w:val="sr-Cyrl-BA"/>
        </w:rPr>
        <w:t xml:space="preserve">. </w:t>
      </w:r>
      <w:r w:rsidRPr="00EC6422">
        <w:t>International Organization of Securities Commissions</w:t>
      </w:r>
      <w:r w:rsidRPr="00EC6422">
        <w:rPr>
          <w:lang w:val="sr-Cyrl-BA"/>
        </w:rPr>
        <w:t xml:space="preserve"> – IOSCO),</w:t>
      </w:r>
    </w:p>
    <w:p w14:paraId="4A4FF369"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сарадњи са другим регулаторима тржишта хартија од вриједности – чланицама IOSCO-а и сарадњи са потписницима IOSCO Међународног меморандума о разумијевању  (</w:t>
      </w:r>
      <w:proofErr w:type="spellStart"/>
      <w:r w:rsidRPr="00EC6422">
        <w:rPr>
          <w:lang w:val="sr-Cyrl-BA"/>
        </w:rPr>
        <w:t>енг</w:t>
      </w:r>
      <w:proofErr w:type="spellEnd"/>
      <w:r w:rsidRPr="00EC6422">
        <w:rPr>
          <w:lang w:val="sr-Cyrl-BA"/>
        </w:rPr>
        <w:t xml:space="preserve">. IOSCO </w:t>
      </w:r>
      <w:r w:rsidRPr="00EC6422">
        <w:t>Multilateral Memorandum of Understanding</w:t>
      </w:r>
      <w:r w:rsidRPr="00EC6422">
        <w:rPr>
          <w:lang w:val="sr-Cyrl-BA"/>
        </w:rPr>
        <w:t xml:space="preserve"> – IOSCO </w:t>
      </w:r>
      <w:proofErr w:type="spellStart"/>
      <w:r w:rsidRPr="00EC6422">
        <w:rPr>
          <w:lang w:val="sr-Cyrl-BA"/>
        </w:rPr>
        <w:t>MMoU</w:t>
      </w:r>
      <w:proofErr w:type="spellEnd"/>
      <w:r w:rsidRPr="00EC6422">
        <w:rPr>
          <w:lang w:val="sr-Cyrl-BA"/>
        </w:rPr>
        <w:t>),</w:t>
      </w:r>
    </w:p>
    <w:p w14:paraId="7839CF7E"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сарадњи са институцијама и органима у земљи и иностранству </w:t>
      </w:r>
    </w:p>
    <w:p w14:paraId="5CDA187F"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активностима на хармонизацији са прописима Европске уније и усаглашавању прописа унутар Босне и Херцеговине и</w:t>
      </w:r>
    </w:p>
    <w:p w14:paraId="35EAA691"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едукацији учесника на тржишту хартија од вриједности.</w:t>
      </w:r>
    </w:p>
    <w:p w14:paraId="74DEB11B" w14:textId="77777777" w:rsidR="00730BD2" w:rsidRDefault="009628CE" w:rsidP="006B6E0C">
      <w:pPr>
        <w:spacing w:after="0" w:line="240" w:lineRule="auto"/>
        <w:ind w:firstLine="567"/>
        <w:rPr>
          <w:lang w:val="sr-Cyrl-BA"/>
        </w:rPr>
      </w:pPr>
      <w:r w:rsidRPr="00EC6422">
        <w:rPr>
          <w:lang w:val="sr-Cyrl-BA"/>
        </w:rPr>
        <w:t xml:space="preserve">Активности Комисије у дијелу развоја и међународне сарадње могу се груписати у три цјелине: </w:t>
      </w:r>
    </w:p>
    <w:p w14:paraId="320E1F87" w14:textId="77777777" w:rsidR="00730BD2" w:rsidRDefault="009628CE" w:rsidP="006B6E0C">
      <w:pPr>
        <w:spacing w:before="0" w:after="0" w:line="240" w:lineRule="auto"/>
        <w:ind w:firstLine="567"/>
        <w:rPr>
          <w:lang w:val="sr-Cyrl-BA"/>
        </w:rPr>
      </w:pPr>
      <w:r w:rsidRPr="00EC6422">
        <w:rPr>
          <w:lang w:val="sr-Cyrl-BA"/>
        </w:rPr>
        <w:t xml:space="preserve">1) нормативне активности, </w:t>
      </w:r>
    </w:p>
    <w:p w14:paraId="398BF1A1" w14:textId="77777777" w:rsidR="00730BD2" w:rsidRDefault="009628CE" w:rsidP="006B6E0C">
      <w:pPr>
        <w:spacing w:before="0" w:after="0" w:line="240" w:lineRule="auto"/>
        <w:ind w:firstLine="567"/>
        <w:rPr>
          <w:lang w:val="sr-Cyrl-BA"/>
        </w:rPr>
      </w:pPr>
      <w:r w:rsidRPr="00EC6422">
        <w:rPr>
          <w:lang w:val="sr-Cyrl-BA"/>
        </w:rPr>
        <w:t xml:space="preserve">2) сарадња са институцијама и органима у земљи и иностранству и </w:t>
      </w:r>
    </w:p>
    <w:p w14:paraId="0604C7C5" w14:textId="48C17B1D" w:rsidR="009628CE" w:rsidRDefault="009628CE" w:rsidP="006B6E0C">
      <w:pPr>
        <w:spacing w:before="0" w:after="0" w:line="240" w:lineRule="auto"/>
        <w:ind w:firstLine="567"/>
        <w:rPr>
          <w:lang w:val="sr-Cyrl-BA"/>
        </w:rPr>
      </w:pPr>
      <w:r w:rsidRPr="00EC6422">
        <w:rPr>
          <w:lang w:val="sr-Cyrl-BA"/>
        </w:rPr>
        <w:t>3) промоција и едукација..</w:t>
      </w:r>
    </w:p>
    <w:p w14:paraId="07297375" w14:textId="77777777" w:rsidR="00A71791" w:rsidRPr="00EC6422" w:rsidRDefault="00A71791" w:rsidP="00A71791">
      <w:pPr>
        <w:pStyle w:val="Heading2"/>
        <w:spacing w:after="0" w:line="240" w:lineRule="auto"/>
        <w:ind w:left="578" w:hanging="578"/>
        <w:rPr>
          <w:rFonts w:ascii="Times New Roman" w:hAnsi="Times New Roman"/>
          <w:sz w:val="24"/>
          <w:lang w:val="sr-Cyrl-BA"/>
        </w:rPr>
      </w:pPr>
      <w:bookmarkStart w:id="72" w:name="_Toc219879261"/>
      <w:bookmarkStart w:id="73" w:name="_Toc219879359"/>
      <w:bookmarkStart w:id="74" w:name="_Toc321408900"/>
      <w:bookmarkStart w:id="75" w:name="_Toc167960436"/>
      <w:bookmarkStart w:id="76" w:name="_Toc219879262"/>
      <w:bookmarkStart w:id="77" w:name="_Toc219879360"/>
      <w:bookmarkStart w:id="78" w:name="_Toc321408901"/>
      <w:r w:rsidRPr="00EC6422">
        <w:rPr>
          <w:rFonts w:ascii="Times New Roman" w:hAnsi="Times New Roman"/>
          <w:sz w:val="24"/>
          <w:lang w:val="sr-Cyrl-BA"/>
        </w:rPr>
        <w:t>Нормативне активности</w:t>
      </w:r>
      <w:bookmarkEnd w:id="72"/>
      <w:bookmarkEnd w:id="73"/>
      <w:bookmarkEnd w:id="74"/>
      <w:bookmarkEnd w:id="75"/>
    </w:p>
    <w:p w14:paraId="704C54C7" w14:textId="637D8E03" w:rsidR="008A17F3" w:rsidRDefault="00A71791" w:rsidP="00A63AF7">
      <w:pPr>
        <w:spacing w:line="240" w:lineRule="auto"/>
        <w:ind w:firstLine="567"/>
        <w:rPr>
          <w:lang w:val="sr-Cyrl-BA"/>
        </w:rPr>
      </w:pPr>
      <w:r w:rsidRPr="00EC6422">
        <w:rPr>
          <w:lang w:val="sr-Cyrl-BA"/>
        </w:rPr>
        <w:t>Под нормативним активностима Комисије подразумијева се израда нацрта и приједлога регулативе, у директној или индиректној надлежности Комисије, као што су: закони, правилници из надлежности Комисије, интерни акти Комисије, општи акти и правила пословања учесника на тржишту и др. Главна активност Комисије на пољу нормативних активности огледала се у припреми приједлога и доношењу општих аката из надлежности Комисије.</w:t>
      </w:r>
    </w:p>
    <w:tbl>
      <w:tblPr>
        <w:tblStyle w:val="LightGrid-Accent111"/>
        <w:tblW w:w="9180" w:type="dxa"/>
        <w:jc w:val="center"/>
        <w:tblLook w:val="04A0" w:firstRow="1" w:lastRow="0" w:firstColumn="1" w:lastColumn="0" w:noHBand="0" w:noVBand="1"/>
      </w:tblPr>
      <w:tblGrid>
        <w:gridCol w:w="675"/>
        <w:gridCol w:w="6946"/>
        <w:gridCol w:w="1559"/>
      </w:tblGrid>
      <w:tr w:rsidR="0060565E" w:rsidRPr="0060565E" w14:paraId="3A554126" w14:textId="77777777" w:rsidTr="005F377D">
        <w:trPr>
          <w:cnfStyle w:val="100000000000" w:firstRow="1" w:lastRow="0" w:firstColumn="0" w:lastColumn="0" w:oddVBand="0" w:evenVBand="0" w:oddHBand="0" w:evenHBand="0" w:firstRowFirstColumn="0" w:firstRowLastColumn="0" w:lastRowFirstColumn="0" w:lastRowLastColumn="0"/>
          <w:trHeight w:val="199"/>
          <w:jc w:val="center"/>
        </w:trPr>
        <w:tc>
          <w:tcPr>
            <w:cnfStyle w:val="001000000000" w:firstRow="0" w:lastRow="0" w:firstColumn="1" w:lastColumn="0" w:oddVBand="0" w:evenVBand="0" w:oddHBand="0" w:evenHBand="0" w:firstRowFirstColumn="0" w:firstRowLastColumn="0" w:lastRowFirstColumn="0" w:lastRowLastColumn="0"/>
            <w:tcW w:w="675" w:type="dxa"/>
            <w:vAlign w:val="center"/>
          </w:tcPr>
          <w:p w14:paraId="24ADEFAD" w14:textId="77777777" w:rsidR="0060565E" w:rsidRPr="0060565E" w:rsidRDefault="0060565E" w:rsidP="0060565E">
            <w:pPr>
              <w:spacing w:after="0" w:line="240" w:lineRule="auto"/>
              <w:ind w:firstLine="0"/>
              <w:jc w:val="left"/>
              <w:rPr>
                <w:rFonts w:ascii="Times New Roman" w:eastAsia="SimSun" w:hAnsi="Times New Roman" w:cs="Times New Roman"/>
                <w:b w:val="0"/>
                <w:bCs w:val="0"/>
                <w:color w:val="000000"/>
                <w:sz w:val="20"/>
                <w:szCs w:val="20"/>
                <w:lang w:val="sr-Cyrl-CS"/>
              </w:rPr>
            </w:pPr>
            <w:r w:rsidRPr="0060565E">
              <w:rPr>
                <w:rFonts w:ascii="Times New Roman" w:eastAsia="SimSun" w:hAnsi="Times New Roman" w:cs="Times New Roman"/>
                <w:color w:val="000000"/>
                <w:sz w:val="20"/>
                <w:szCs w:val="20"/>
                <w:lang w:val="sr-Cyrl-CS"/>
              </w:rPr>
              <w:t>Р</w:t>
            </w:r>
            <w:r w:rsidRPr="0060565E">
              <w:rPr>
                <w:rFonts w:ascii="Times New Roman" w:eastAsia="SimSun" w:hAnsi="Times New Roman" w:cs="Times New Roman"/>
                <w:color w:val="000000"/>
                <w:sz w:val="20"/>
                <w:szCs w:val="20"/>
                <w:lang w:val="sr-Latn-BA"/>
              </w:rPr>
              <w:t>.</w:t>
            </w:r>
          </w:p>
          <w:p w14:paraId="3FD08861" w14:textId="77777777" w:rsidR="0060565E" w:rsidRPr="0060565E" w:rsidRDefault="0060565E" w:rsidP="0060565E">
            <w:pPr>
              <w:spacing w:after="0" w:line="240" w:lineRule="auto"/>
              <w:ind w:firstLine="0"/>
              <w:jc w:val="left"/>
              <w:rPr>
                <w:rFonts w:ascii="Times New Roman" w:eastAsia="SimSun" w:hAnsi="Times New Roman" w:cs="Times New Roman"/>
                <w:b w:val="0"/>
                <w:bCs w:val="0"/>
                <w:color w:val="000000"/>
                <w:sz w:val="20"/>
                <w:szCs w:val="20"/>
                <w:lang w:val="sr-Latn-RS"/>
              </w:rPr>
            </w:pPr>
            <w:r w:rsidRPr="0060565E">
              <w:rPr>
                <w:rFonts w:ascii="Times New Roman" w:eastAsia="SimSun" w:hAnsi="Times New Roman" w:cs="Times New Roman"/>
                <w:color w:val="000000"/>
                <w:sz w:val="20"/>
                <w:szCs w:val="20"/>
                <w:lang w:val="sr-Cyrl-BA"/>
              </w:rPr>
              <w:t>б</w:t>
            </w:r>
            <w:r w:rsidRPr="0060565E">
              <w:rPr>
                <w:rFonts w:ascii="Times New Roman" w:eastAsia="SimSun" w:hAnsi="Times New Roman" w:cs="Times New Roman"/>
                <w:color w:val="000000"/>
                <w:sz w:val="20"/>
                <w:szCs w:val="20"/>
                <w:lang w:val="sr-Cyrl-CS"/>
              </w:rPr>
              <w:t>р</w:t>
            </w:r>
            <w:r w:rsidRPr="0060565E">
              <w:rPr>
                <w:rFonts w:ascii="Times New Roman" w:eastAsia="SimSun" w:hAnsi="Times New Roman" w:cs="Times New Roman"/>
                <w:color w:val="000000"/>
                <w:sz w:val="20"/>
                <w:szCs w:val="20"/>
                <w:lang w:val="sr-Latn-BA"/>
              </w:rPr>
              <w:t>.</w:t>
            </w:r>
          </w:p>
        </w:tc>
        <w:tc>
          <w:tcPr>
            <w:tcW w:w="6946" w:type="dxa"/>
            <w:vAlign w:val="center"/>
            <w:hideMark/>
          </w:tcPr>
          <w:p w14:paraId="3E0CC47C" w14:textId="77777777" w:rsidR="0060565E" w:rsidRPr="0060565E" w:rsidRDefault="0060565E"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CS"/>
              </w:rPr>
            </w:pPr>
            <w:r w:rsidRPr="0060565E">
              <w:rPr>
                <w:rFonts w:ascii="Times New Roman" w:eastAsia="SimSun" w:hAnsi="Times New Roman" w:cs="Times New Roman"/>
                <w:color w:val="000000"/>
                <w:sz w:val="20"/>
                <w:szCs w:val="20"/>
                <w:lang w:val="sr-Cyrl-CS"/>
              </w:rPr>
              <w:t>Објава текста</w:t>
            </w:r>
          </w:p>
        </w:tc>
        <w:tc>
          <w:tcPr>
            <w:tcW w:w="1559" w:type="dxa"/>
            <w:vAlign w:val="center"/>
            <w:hideMark/>
          </w:tcPr>
          <w:p w14:paraId="0ADA9B52" w14:textId="77777777" w:rsidR="0060565E" w:rsidRPr="0060565E" w:rsidRDefault="0060565E"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CS"/>
              </w:rPr>
            </w:pPr>
            <w:r w:rsidRPr="0060565E">
              <w:rPr>
                <w:rFonts w:ascii="Times New Roman" w:eastAsia="SimSun" w:hAnsi="Times New Roman" w:cs="Times New Roman"/>
                <w:color w:val="000000"/>
                <w:sz w:val="20"/>
                <w:szCs w:val="20"/>
                <w:lang w:val="sr-Cyrl-CS"/>
              </w:rPr>
              <w:t xml:space="preserve">Датум и број   </w:t>
            </w:r>
          </w:p>
          <w:p w14:paraId="7F855D32" w14:textId="77777777" w:rsidR="0060565E" w:rsidRPr="0060565E" w:rsidRDefault="0060565E"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CS"/>
              </w:rPr>
            </w:pPr>
            <w:r w:rsidRPr="0060565E">
              <w:rPr>
                <w:rFonts w:ascii="Times New Roman" w:eastAsia="SimSun" w:hAnsi="Times New Roman" w:cs="Times New Roman"/>
                <w:color w:val="000000"/>
                <w:sz w:val="20"/>
                <w:szCs w:val="20"/>
                <w:lang w:val="sr-Cyrl-CS"/>
              </w:rPr>
              <w:t xml:space="preserve">Службеног  Гласника </w:t>
            </w:r>
          </w:p>
        </w:tc>
      </w:tr>
      <w:tr w:rsidR="0060565E" w:rsidRPr="0060565E" w14:paraId="42041172"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73B11D8D"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w:t>
            </w:r>
          </w:p>
        </w:tc>
        <w:tc>
          <w:tcPr>
            <w:tcW w:w="6946" w:type="dxa"/>
          </w:tcPr>
          <w:p w14:paraId="6CC7A6C0"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5F377D">
              <w:rPr>
                <w:rFonts w:ascii="Times New Roman" w:eastAsia="SimSun" w:hAnsi="Times New Roman" w:cs="Times New Roman"/>
                <w:sz w:val="20"/>
                <w:szCs w:val="20"/>
                <w:lang w:val="sr-Cyrl-BA"/>
              </w:rPr>
              <w:t xml:space="preserve">Правилник о евиденцији </w:t>
            </w:r>
            <w:proofErr w:type="spellStart"/>
            <w:r w:rsidRPr="005F377D">
              <w:rPr>
                <w:rFonts w:ascii="Times New Roman" w:eastAsia="SimSun" w:hAnsi="Times New Roman" w:cs="Times New Roman"/>
                <w:sz w:val="20"/>
                <w:szCs w:val="20"/>
                <w:lang w:val="sr-Cyrl-BA"/>
              </w:rPr>
              <w:t>пружалаца</w:t>
            </w:r>
            <w:proofErr w:type="spellEnd"/>
            <w:r w:rsidRPr="005F377D">
              <w:rPr>
                <w:rFonts w:ascii="Times New Roman" w:eastAsia="SimSun" w:hAnsi="Times New Roman" w:cs="Times New Roman"/>
                <w:sz w:val="20"/>
                <w:szCs w:val="20"/>
                <w:lang w:val="sr-Cyrl-BA"/>
              </w:rPr>
              <w:t xml:space="preserve"> услуга повезаних са виртуелним валутама</w:t>
            </w:r>
          </w:p>
        </w:tc>
        <w:tc>
          <w:tcPr>
            <w:tcW w:w="1559" w:type="dxa"/>
          </w:tcPr>
          <w:p w14:paraId="42550FC2"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17.01.2023</w:t>
            </w:r>
            <w:r w:rsidRPr="0060565E">
              <w:rPr>
                <w:rFonts w:ascii="Times New Roman" w:eastAsia="SimSun" w:hAnsi="Times New Roman" w:cs="Times New Roman"/>
                <w:color w:val="000000"/>
                <w:sz w:val="20"/>
                <w:szCs w:val="20"/>
                <w:lang w:val="sr-Cyrl-BA"/>
              </w:rPr>
              <w:t>.</w:t>
            </w:r>
          </w:p>
          <w:p w14:paraId="544A50A1"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04/23</w:t>
            </w:r>
          </w:p>
        </w:tc>
      </w:tr>
      <w:tr w:rsidR="0060565E" w:rsidRPr="0060565E" w14:paraId="29BCE8D4"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311E1DE7"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2.</w:t>
            </w:r>
          </w:p>
        </w:tc>
        <w:tc>
          <w:tcPr>
            <w:tcW w:w="6946" w:type="dxa"/>
          </w:tcPr>
          <w:p w14:paraId="6B6DF870"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5F377D">
              <w:rPr>
                <w:rFonts w:ascii="Times New Roman" w:eastAsia="SimSun" w:hAnsi="Times New Roman" w:cs="Times New Roman"/>
                <w:sz w:val="20"/>
                <w:szCs w:val="20"/>
                <w:lang w:val="sr-Cyrl-BA"/>
              </w:rPr>
              <w:t>Правилник о измјенама Правилника о трговању хартијама од вриједности</w:t>
            </w:r>
          </w:p>
        </w:tc>
        <w:tc>
          <w:tcPr>
            <w:tcW w:w="1559" w:type="dxa"/>
          </w:tcPr>
          <w:p w14:paraId="74E0D280"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13.02.2023.</w:t>
            </w:r>
          </w:p>
          <w:p w14:paraId="6FF87567"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13/23</w:t>
            </w:r>
          </w:p>
        </w:tc>
      </w:tr>
      <w:tr w:rsidR="0060565E" w:rsidRPr="0060565E" w14:paraId="4A26052C"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F3CE2F5"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3.</w:t>
            </w:r>
          </w:p>
        </w:tc>
        <w:tc>
          <w:tcPr>
            <w:tcW w:w="6946" w:type="dxa"/>
          </w:tcPr>
          <w:p w14:paraId="6DDBB7F4"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5F377D">
              <w:rPr>
                <w:rFonts w:ascii="Times New Roman" w:eastAsia="SimSun" w:hAnsi="Times New Roman" w:cs="Times New Roman"/>
                <w:sz w:val="20"/>
                <w:szCs w:val="20"/>
                <w:lang w:val="sr-Cyrl-BA"/>
              </w:rPr>
              <w:t>Правилник o адекватности капитала и ликвидности брокерско-</w:t>
            </w:r>
            <w:proofErr w:type="spellStart"/>
            <w:r w:rsidRPr="005F377D">
              <w:rPr>
                <w:rFonts w:ascii="Times New Roman" w:eastAsia="SimSun" w:hAnsi="Times New Roman" w:cs="Times New Roman"/>
                <w:sz w:val="20"/>
                <w:szCs w:val="20"/>
                <w:lang w:val="sr-Cyrl-BA"/>
              </w:rPr>
              <w:t>дилерског</w:t>
            </w:r>
            <w:proofErr w:type="spellEnd"/>
            <w:r w:rsidRPr="005F377D">
              <w:rPr>
                <w:rFonts w:ascii="Times New Roman" w:eastAsia="SimSun" w:hAnsi="Times New Roman" w:cs="Times New Roman"/>
                <w:sz w:val="20"/>
                <w:szCs w:val="20"/>
                <w:lang w:val="sr-Cyrl-BA"/>
              </w:rPr>
              <w:t xml:space="preserve"> друштва</w:t>
            </w:r>
          </w:p>
        </w:tc>
        <w:tc>
          <w:tcPr>
            <w:tcW w:w="1559" w:type="dxa"/>
          </w:tcPr>
          <w:p w14:paraId="212CFB83"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16.03.2023</w:t>
            </w:r>
            <w:r w:rsidRPr="0060565E">
              <w:rPr>
                <w:rFonts w:ascii="Times New Roman" w:eastAsia="SimSun" w:hAnsi="Times New Roman" w:cs="Times New Roman"/>
                <w:color w:val="000000"/>
                <w:sz w:val="20"/>
                <w:szCs w:val="20"/>
                <w:lang w:val="sr-Cyrl-BA"/>
              </w:rPr>
              <w:t>.</w:t>
            </w:r>
          </w:p>
          <w:p w14:paraId="55B98B68"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25/23</w:t>
            </w:r>
          </w:p>
        </w:tc>
      </w:tr>
      <w:tr w:rsidR="0060565E" w:rsidRPr="0060565E" w14:paraId="0D054D0C"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2FA15482"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4.</w:t>
            </w:r>
          </w:p>
        </w:tc>
        <w:tc>
          <w:tcPr>
            <w:tcW w:w="6946" w:type="dxa"/>
          </w:tcPr>
          <w:p w14:paraId="5B33CBCD"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5F377D">
              <w:rPr>
                <w:rFonts w:ascii="Times New Roman" w:eastAsia="SimSun" w:hAnsi="Times New Roman" w:cs="Times New Roman"/>
                <w:sz w:val="20"/>
                <w:szCs w:val="20"/>
                <w:lang w:val="sr-Cyrl-BA"/>
              </w:rPr>
              <w:t xml:space="preserve">Правилник о измјенама и допунама Правилника о обављању </w:t>
            </w:r>
            <w:proofErr w:type="spellStart"/>
            <w:r w:rsidRPr="005F377D">
              <w:rPr>
                <w:rFonts w:ascii="Times New Roman" w:eastAsia="SimSun" w:hAnsi="Times New Roman" w:cs="Times New Roman"/>
                <w:sz w:val="20"/>
                <w:szCs w:val="20"/>
                <w:lang w:val="sr-Cyrl-BA"/>
              </w:rPr>
              <w:t>кастоди</w:t>
            </w:r>
            <w:proofErr w:type="spellEnd"/>
            <w:r w:rsidRPr="005F377D">
              <w:rPr>
                <w:rFonts w:ascii="Times New Roman" w:eastAsia="SimSun" w:hAnsi="Times New Roman" w:cs="Times New Roman"/>
                <w:sz w:val="20"/>
                <w:szCs w:val="20"/>
                <w:lang w:val="sr-Cyrl-BA"/>
              </w:rPr>
              <w:t xml:space="preserve"> послова</w:t>
            </w:r>
          </w:p>
        </w:tc>
        <w:tc>
          <w:tcPr>
            <w:tcW w:w="1559" w:type="dxa"/>
          </w:tcPr>
          <w:p w14:paraId="6D1E69BC"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16.03.2023</w:t>
            </w:r>
            <w:r w:rsidRPr="0060565E">
              <w:rPr>
                <w:rFonts w:ascii="Times New Roman" w:eastAsia="SimSun" w:hAnsi="Times New Roman" w:cs="Times New Roman"/>
                <w:color w:val="000000"/>
                <w:sz w:val="20"/>
                <w:szCs w:val="20"/>
                <w:lang w:val="sr-Cyrl-BA"/>
              </w:rPr>
              <w:t>.</w:t>
            </w:r>
          </w:p>
          <w:p w14:paraId="42CB5193"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25/23</w:t>
            </w:r>
          </w:p>
        </w:tc>
      </w:tr>
      <w:tr w:rsidR="0060565E" w:rsidRPr="0060565E" w14:paraId="367ABDFA"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F697444"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5.</w:t>
            </w:r>
          </w:p>
        </w:tc>
        <w:tc>
          <w:tcPr>
            <w:tcW w:w="6946" w:type="dxa"/>
          </w:tcPr>
          <w:p w14:paraId="2B9E234E"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измјенама и допунама Правилника о извјештавању и објављивању информација о пословању са хартијама од вриједности</w:t>
            </w:r>
          </w:p>
        </w:tc>
        <w:tc>
          <w:tcPr>
            <w:tcW w:w="1559" w:type="dxa"/>
          </w:tcPr>
          <w:p w14:paraId="6CBD2F90"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16.03.2023</w:t>
            </w:r>
            <w:r w:rsidRPr="0060565E">
              <w:rPr>
                <w:rFonts w:ascii="Times New Roman" w:eastAsia="SimSun" w:hAnsi="Times New Roman" w:cs="Times New Roman"/>
                <w:color w:val="000000"/>
                <w:sz w:val="20"/>
                <w:szCs w:val="20"/>
                <w:lang w:val="sr-Cyrl-BA"/>
              </w:rPr>
              <w:t>.</w:t>
            </w:r>
          </w:p>
          <w:p w14:paraId="30D6AB6A"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25/23</w:t>
            </w:r>
          </w:p>
        </w:tc>
      </w:tr>
      <w:tr w:rsidR="0060565E" w:rsidRPr="0060565E" w14:paraId="5915EF13"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DD6E9B4"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6.</w:t>
            </w:r>
          </w:p>
        </w:tc>
        <w:tc>
          <w:tcPr>
            <w:tcW w:w="6946" w:type="dxa"/>
          </w:tcPr>
          <w:p w14:paraId="58D0559D"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измјенама и допунама Правилника о надзору над учесницима на тржишту хартија од вриједности</w:t>
            </w:r>
          </w:p>
        </w:tc>
        <w:tc>
          <w:tcPr>
            <w:tcW w:w="1559" w:type="dxa"/>
          </w:tcPr>
          <w:p w14:paraId="4B713CDB"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16.03.2023</w:t>
            </w:r>
            <w:r w:rsidRPr="0060565E">
              <w:rPr>
                <w:rFonts w:ascii="Times New Roman" w:eastAsia="SimSun" w:hAnsi="Times New Roman" w:cs="Times New Roman"/>
                <w:color w:val="000000"/>
                <w:sz w:val="20"/>
                <w:szCs w:val="20"/>
                <w:lang w:val="sr-Cyrl-BA"/>
              </w:rPr>
              <w:t>.</w:t>
            </w:r>
          </w:p>
          <w:p w14:paraId="523868B6"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25/23</w:t>
            </w:r>
          </w:p>
        </w:tc>
      </w:tr>
      <w:tr w:rsidR="0060565E" w:rsidRPr="0060565E" w14:paraId="287472EF"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39818764"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lastRenderedPageBreak/>
              <w:t>7.</w:t>
            </w:r>
          </w:p>
        </w:tc>
        <w:tc>
          <w:tcPr>
            <w:tcW w:w="6946" w:type="dxa"/>
          </w:tcPr>
          <w:p w14:paraId="3933D8DA"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p>
        </w:tc>
        <w:tc>
          <w:tcPr>
            <w:tcW w:w="1559" w:type="dxa"/>
          </w:tcPr>
          <w:p w14:paraId="1512EEA7"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27.03.2023</w:t>
            </w:r>
            <w:r w:rsidRPr="0060565E">
              <w:rPr>
                <w:rFonts w:ascii="Times New Roman" w:eastAsia="SimSun" w:hAnsi="Times New Roman" w:cs="Times New Roman"/>
                <w:color w:val="000000"/>
                <w:sz w:val="20"/>
                <w:szCs w:val="20"/>
                <w:lang w:val="sr-Cyrl-BA"/>
              </w:rPr>
              <w:t>.</w:t>
            </w:r>
          </w:p>
          <w:p w14:paraId="125A2CC6"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29/23</w:t>
            </w:r>
          </w:p>
        </w:tc>
      </w:tr>
      <w:tr w:rsidR="0060565E" w:rsidRPr="0060565E" w14:paraId="1A58C4A7"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66A0DD9"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8.</w:t>
            </w:r>
          </w:p>
        </w:tc>
        <w:tc>
          <w:tcPr>
            <w:tcW w:w="6946" w:type="dxa"/>
          </w:tcPr>
          <w:p w14:paraId="7DA1FB32"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измјенама и допунама Правилника о условима и поступку емисије хартија од вриједности</w:t>
            </w:r>
          </w:p>
        </w:tc>
        <w:tc>
          <w:tcPr>
            <w:tcW w:w="1559" w:type="dxa"/>
          </w:tcPr>
          <w:p w14:paraId="4A2EA44D"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27.03.2023</w:t>
            </w:r>
            <w:r w:rsidRPr="0060565E">
              <w:rPr>
                <w:rFonts w:ascii="Times New Roman" w:eastAsia="SimSun" w:hAnsi="Times New Roman" w:cs="Times New Roman"/>
                <w:color w:val="000000"/>
                <w:sz w:val="20"/>
                <w:szCs w:val="20"/>
                <w:lang w:val="sr-Cyrl-BA"/>
              </w:rPr>
              <w:t>.</w:t>
            </w:r>
          </w:p>
          <w:p w14:paraId="7A61F09E"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29/23</w:t>
            </w:r>
          </w:p>
        </w:tc>
      </w:tr>
      <w:tr w:rsidR="0060565E" w:rsidRPr="0060565E" w14:paraId="1D46DB78"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5A7CF9D5"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9.</w:t>
            </w:r>
          </w:p>
        </w:tc>
        <w:tc>
          <w:tcPr>
            <w:tcW w:w="6946" w:type="dxa"/>
          </w:tcPr>
          <w:p w14:paraId="07893EF1"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 xml:space="preserve">Правилник о измјенама и допунама Правилника о садржају, роковима и облику извјештавања друштва за </w:t>
            </w:r>
            <w:proofErr w:type="spellStart"/>
            <w:r w:rsidRPr="005F377D">
              <w:rPr>
                <w:rFonts w:ascii="Times New Roman" w:eastAsia="SimSun" w:hAnsi="Times New Roman" w:cs="Times New Roman"/>
                <w:sz w:val="20"/>
                <w:szCs w:val="20"/>
                <w:lang w:val="sr-Cyrl-BA"/>
              </w:rPr>
              <w:t>факторинг</w:t>
            </w:r>
            <w:proofErr w:type="spellEnd"/>
          </w:p>
        </w:tc>
        <w:tc>
          <w:tcPr>
            <w:tcW w:w="1559" w:type="dxa"/>
          </w:tcPr>
          <w:p w14:paraId="37405FDE"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06.04.2023</w:t>
            </w:r>
            <w:r w:rsidRPr="0060565E">
              <w:rPr>
                <w:rFonts w:ascii="Times New Roman" w:eastAsia="SimSun" w:hAnsi="Times New Roman" w:cs="Times New Roman"/>
                <w:color w:val="000000"/>
                <w:sz w:val="20"/>
                <w:szCs w:val="20"/>
                <w:lang w:val="sr-Cyrl-BA"/>
              </w:rPr>
              <w:t>.</w:t>
            </w:r>
          </w:p>
          <w:p w14:paraId="3BAAA9F4"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32/23</w:t>
            </w:r>
          </w:p>
        </w:tc>
      </w:tr>
      <w:tr w:rsidR="0060565E" w:rsidRPr="0060565E" w14:paraId="78CC2EE7"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25E5EAA"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10.</w:t>
            </w:r>
          </w:p>
        </w:tc>
        <w:tc>
          <w:tcPr>
            <w:tcW w:w="6946" w:type="dxa"/>
          </w:tcPr>
          <w:p w14:paraId="396271F4"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 xml:space="preserve">Правилник о условима и поступку издавања одобрења за стицање, отуђивање, </w:t>
            </w:r>
            <w:proofErr w:type="spellStart"/>
            <w:r w:rsidRPr="005F377D">
              <w:rPr>
                <w:rFonts w:ascii="Times New Roman" w:eastAsia="SimSun" w:hAnsi="Times New Roman" w:cs="Times New Roman"/>
                <w:sz w:val="20"/>
                <w:szCs w:val="20"/>
                <w:lang w:val="sr-Cyrl-BA"/>
              </w:rPr>
              <w:t>пренос</w:t>
            </w:r>
            <w:proofErr w:type="spellEnd"/>
            <w:r w:rsidRPr="005F377D">
              <w:rPr>
                <w:rFonts w:ascii="Times New Roman" w:eastAsia="SimSun" w:hAnsi="Times New Roman" w:cs="Times New Roman"/>
                <w:sz w:val="20"/>
                <w:szCs w:val="20"/>
                <w:lang w:val="sr-Cyrl-BA"/>
              </w:rPr>
              <w:t xml:space="preserve"> и залагање акција Централног регистра хартија од вриједности</w:t>
            </w:r>
          </w:p>
        </w:tc>
        <w:tc>
          <w:tcPr>
            <w:tcW w:w="1559" w:type="dxa"/>
          </w:tcPr>
          <w:p w14:paraId="10BA8173"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02.08.2023</w:t>
            </w:r>
            <w:r w:rsidRPr="0060565E">
              <w:rPr>
                <w:rFonts w:ascii="Times New Roman" w:eastAsia="SimSun" w:hAnsi="Times New Roman" w:cs="Times New Roman"/>
                <w:color w:val="000000"/>
                <w:sz w:val="20"/>
                <w:szCs w:val="20"/>
                <w:lang w:val="sr-Cyrl-BA"/>
              </w:rPr>
              <w:t>.</w:t>
            </w:r>
          </w:p>
          <w:p w14:paraId="5E04CA27"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69/23</w:t>
            </w:r>
          </w:p>
        </w:tc>
      </w:tr>
      <w:tr w:rsidR="0060565E" w:rsidRPr="0060565E" w14:paraId="370C1679"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C3053F8"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11.</w:t>
            </w:r>
          </w:p>
        </w:tc>
        <w:tc>
          <w:tcPr>
            <w:tcW w:w="6946" w:type="dxa"/>
          </w:tcPr>
          <w:p w14:paraId="75123B44"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допунама Правилника о условима и поступку емисије хартија од вриједности</w:t>
            </w:r>
          </w:p>
        </w:tc>
        <w:tc>
          <w:tcPr>
            <w:tcW w:w="1559" w:type="dxa"/>
          </w:tcPr>
          <w:p w14:paraId="5778884D"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02.08.2023</w:t>
            </w:r>
            <w:r w:rsidRPr="0060565E">
              <w:rPr>
                <w:rFonts w:ascii="Times New Roman" w:eastAsia="SimSun" w:hAnsi="Times New Roman" w:cs="Times New Roman"/>
                <w:color w:val="000000"/>
                <w:sz w:val="20"/>
                <w:szCs w:val="20"/>
                <w:lang w:val="sr-Cyrl-BA"/>
              </w:rPr>
              <w:t>.</w:t>
            </w:r>
          </w:p>
          <w:p w14:paraId="4611E1B1" w14:textId="77777777" w:rsidR="0060565E" w:rsidRPr="0060565E"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69/23</w:t>
            </w:r>
          </w:p>
        </w:tc>
      </w:tr>
      <w:tr w:rsidR="0060565E" w:rsidRPr="0060565E" w14:paraId="7FE41CCE"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65C6EB42"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12.</w:t>
            </w:r>
          </w:p>
        </w:tc>
        <w:tc>
          <w:tcPr>
            <w:tcW w:w="6946" w:type="dxa"/>
          </w:tcPr>
          <w:p w14:paraId="1B3C31DF" w14:textId="77777777" w:rsidR="0060565E" w:rsidRPr="005F377D" w:rsidRDefault="0060565E"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 xml:space="preserve">Упутство о форми и садржају мишљења управе </w:t>
            </w:r>
            <w:proofErr w:type="spellStart"/>
            <w:r w:rsidRPr="005F377D">
              <w:rPr>
                <w:rFonts w:ascii="Times New Roman" w:eastAsia="SimSun" w:hAnsi="Times New Roman" w:cs="Times New Roman"/>
                <w:sz w:val="20"/>
                <w:szCs w:val="20"/>
                <w:lang w:val="sr-Cyrl-BA"/>
              </w:rPr>
              <w:t>емитента</w:t>
            </w:r>
            <w:proofErr w:type="spellEnd"/>
            <w:r w:rsidRPr="005F377D">
              <w:rPr>
                <w:rFonts w:ascii="Times New Roman" w:eastAsia="SimSun" w:hAnsi="Times New Roman" w:cs="Times New Roman"/>
                <w:sz w:val="20"/>
                <w:szCs w:val="20"/>
                <w:lang w:val="sr-Cyrl-BA"/>
              </w:rPr>
              <w:t xml:space="preserve"> о објављеној понуди за преузимање </w:t>
            </w:r>
            <w:proofErr w:type="spellStart"/>
            <w:r w:rsidRPr="005F377D">
              <w:rPr>
                <w:rFonts w:ascii="Times New Roman" w:eastAsia="SimSun" w:hAnsi="Times New Roman" w:cs="Times New Roman"/>
                <w:sz w:val="20"/>
                <w:szCs w:val="20"/>
                <w:lang w:val="sr-Cyrl-BA"/>
              </w:rPr>
              <w:t>емитента</w:t>
            </w:r>
            <w:proofErr w:type="spellEnd"/>
          </w:p>
        </w:tc>
        <w:tc>
          <w:tcPr>
            <w:tcW w:w="1559" w:type="dxa"/>
          </w:tcPr>
          <w:p w14:paraId="6F520B41"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02.08.2023</w:t>
            </w:r>
            <w:r w:rsidRPr="0060565E">
              <w:rPr>
                <w:rFonts w:ascii="Times New Roman" w:eastAsia="SimSun" w:hAnsi="Times New Roman" w:cs="Times New Roman"/>
                <w:color w:val="000000"/>
                <w:sz w:val="20"/>
                <w:szCs w:val="20"/>
                <w:lang w:val="sr-Cyrl-BA"/>
              </w:rPr>
              <w:t>.</w:t>
            </w:r>
          </w:p>
          <w:p w14:paraId="3986B540" w14:textId="77777777" w:rsidR="0060565E" w:rsidRPr="0060565E"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69/23</w:t>
            </w:r>
          </w:p>
        </w:tc>
      </w:tr>
      <w:tr w:rsidR="0060565E" w:rsidRPr="0060565E" w14:paraId="5E76092A"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6D3212C1" w14:textId="77777777" w:rsidR="0060565E" w:rsidRPr="0060565E" w:rsidRDefault="0060565E" w:rsidP="0060565E">
            <w:pPr>
              <w:spacing w:before="0" w:after="0" w:line="240" w:lineRule="auto"/>
              <w:ind w:firstLine="0"/>
              <w:jc w:val="center"/>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Cyrl-BA"/>
              </w:rPr>
              <w:t>13.</w:t>
            </w:r>
          </w:p>
        </w:tc>
        <w:tc>
          <w:tcPr>
            <w:tcW w:w="6946" w:type="dxa"/>
          </w:tcPr>
          <w:p w14:paraId="35066323" w14:textId="77777777" w:rsidR="0060565E" w:rsidRPr="005F377D"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BA"/>
              </w:rPr>
            </w:pPr>
            <w:r w:rsidRPr="005F377D">
              <w:rPr>
                <w:rFonts w:ascii="Times New Roman" w:eastAsia="SimSun" w:hAnsi="Times New Roman" w:cs="Times New Roman"/>
                <w:sz w:val="20"/>
                <w:szCs w:val="20"/>
                <w:lang w:val="sr-Cyrl-BA"/>
              </w:rPr>
              <w:t>Правилник о условима и поступку стицања звања и добијања дозволе за обављање послова брокера, инвестиционог савјетника и инвестиционог менаџера</w:t>
            </w:r>
          </w:p>
        </w:tc>
        <w:tc>
          <w:tcPr>
            <w:tcW w:w="1559" w:type="dxa"/>
          </w:tcPr>
          <w:p w14:paraId="5115F447"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04.12.2023</w:t>
            </w:r>
            <w:r w:rsidRPr="0060565E">
              <w:rPr>
                <w:rFonts w:ascii="Times New Roman" w:eastAsia="SimSun" w:hAnsi="Times New Roman" w:cs="Times New Roman"/>
                <w:color w:val="000000"/>
                <w:sz w:val="20"/>
                <w:szCs w:val="20"/>
                <w:lang w:val="sr-Cyrl-BA"/>
              </w:rPr>
              <w:t>.</w:t>
            </w:r>
          </w:p>
          <w:p w14:paraId="52493B55" w14:textId="77777777" w:rsidR="0060565E" w:rsidRPr="0060565E"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60565E">
              <w:rPr>
                <w:rFonts w:ascii="Times New Roman" w:eastAsia="SimSun" w:hAnsi="Times New Roman" w:cs="Times New Roman"/>
                <w:color w:val="000000"/>
                <w:sz w:val="20"/>
                <w:szCs w:val="20"/>
                <w:lang w:val="sr-Latn-BA"/>
              </w:rPr>
              <w:t>105/23</w:t>
            </w:r>
          </w:p>
        </w:tc>
      </w:tr>
    </w:tbl>
    <w:p w14:paraId="720C5368" w14:textId="3E4E756F" w:rsidR="00A71791" w:rsidRDefault="00A71791" w:rsidP="00A71791">
      <w:pPr>
        <w:pStyle w:val="Caption"/>
        <w:tabs>
          <w:tab w:val="left" w:pos="1276"/>
        </w:tabs>
        <w:spacing w:after="0"/>
        <w:jc w:val="left"/>
        <w:rPr>
          <w:rFonts w:ascii="Times New Roman" w:hAnsi="Times New Roman"/>
          <w:b w:val="0"/>
          <w:sz w:val="24"/>
          <w:lang w:val="en-US"/>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C64B5B">
        <w:rPr>
          <w:rFonts w:ascii="Times New Roman" w:hAnsi="Times New Roman"/>
          <w:noProof/>
          <w:sz w:val="24"/>
          <w:lang w:val="sr-Cyrl-BA"/>
        </w:rPr>
        <w:t>17</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24"/>
          <w:lang w:val="sr-Cyrl-BA"/>
        </w:rPr>
        <w:tab/>
      </w:r>
      <w:r w:rsidRPr="00EC6422">
        <w:rPr>
          <w:rFonts w:ascii="Times New Roman" w:hAnsi="Times New Roman"/>
          <w:b w:val="0"/>
          <w:sz w:val="24"/>
          <w:lang w:val="sr-Cyrl-BA"/>
        </w:rPr>
        <w:t xml:space="preserve">Прописи које је Комисија донијела у </w:t>
      </w:r>
      <w:r w:rsidR="00F0610F">
        <w:rPr>
          <w:rFonts w:ascii="Times New Roman" w:hAnsi="Times New Roman"/>
          <w:b w:val="0"/>
          <w:sz w:val="24"/>
          <w:lang w:val="sr-Latn-BA"/>
        </w:rPr>
        <w:t>202</w:t>
      </w:r>
      <w:r w:rsidR="005F377D">
        <w:rPr>
          <w:rFonts w:ascii="Times New Roman" w:hAnsi="Times New Roman"/>
          <w:b w:val="0"/>
          <w:sz w:val="24"/>
          <w:lang w:val="sr-Latn-BA"/>
        </w:rPr>
        <w:t>3</w:t>
      </w:r>
      <w:r w:rsidRPr="00EC6422">
        <w:rPr>
          <w:rFonts w:ascii="Times New Roman" w:hAnsi="Times New Roman"/>
          <w:b w:val="0"/>
          <w:sz w:val="24"/>
          <w:lang w:val="sr-Cyrl-BA"/>
        </w:rPr>
        <w:t xml:space="preserve">. </w:t>
      </w:r>
      <w:r w:rsidR="005E1D59">
        <w:rPr>
          <w:rFonts w:ascii="Times New Roman" w:hAnsi="Times New Roman"/>
          <w:b w:val="0"/>
          <w:sz w:val="24"/>
          <w:lang w:val="sr-Cyrl-BA"/>
        </w:rPr>
        <w:t>г</w:t>
      </w:r>
      <w:r w:rsidRPr="00EC6422">
        <w:rPr>
          <w:rFonts w:ascii="Times New Roman" w:hAnsi="Times New Roman"/>
          <w:b w:val="0"/>
          <w:sz w:val="24"/>
          <w:lang w:val="sr-Cyrl-BA"/>
        </w:rPr>
        <w:t>одини</w:t>
      </w:r>
    </w:p>
    <w:p w14:paraId="79FBDE0A" w14:textId="77777777" w:rsidR="009628CE" w:rsidRPr="00CB25D5" w:rsidRDefault="009628CE" w:rsidP="006B6E0C">
      <w:pPr>
        <w:pStyle w:val="Heading2"/>
        <w:spacing w:before="240" w:after="0" w:line="240" w:lineRule="auto"/>
        <w:ind w:left="578" w:hanging="578"/>
        <w:rPr>
          <w:rFonts w:ascii="Times New Roman" w:hAnsi="Times New Roman"/>
          <w:sz w:val="24"/>
          <w:lang w:val="sr-Cyrl-BA"/>
        </w:rPr>
      </w:pPr>
      <w:bookmarkStart w:id="79" w:name="_Toc167960437"/>
      <w:r w:rsidRPr="00CB25D5">
        <w:rPr>
          <w:rFonts w:ascii="Times New Roman" w:hAnsi="Times New Roman"/>
          <w:sz w:val="24"/>
          <w:lang w:val="sr-Cyrl-BA"/>
        </w:rPr>
        <w:t>Сарадња</w:t>
      </w:r>
      <w:bookmarkEnd w:id="76"/>
      <w:bookmarkEnd w:id="77"/>
      <w:bookmarkEnd w:id="78"/>
      <w:bookmarkEnd w:id="79"/>
    </w:p>
    <w:p w14:paraId="4E822622" w14:textId="523B2979" w:rsidR="009628CE" w:rsidRDefault="00C34E2D" w:rsidP="006B6E0C">
      <w:pPr>
        <w:spacing w:after="0" w:line="240" w:lineRule="auto"/>
        <w:ind w:firstLine="567"/>
        <w:rPr>
          <w:lang w:val="sr-Cyrl-BA"/>
        </w:rPr>
      </w:pPr>
      <w:r w:rsidRPr="00CB25D5">
        <w:rPr>
          <w:lang w:val="sr-Cyrl-BA"/>
        </w:rPr>
        <w:t xml:space="preserve">Сарадња Комисије </w:t>
      </w:r>
      <w:r w:rsidR="009628CE" w:rsidRPr="00CB25D5">
        <w:rPr>
          <w:bCs/>
          <w:lang w:val="sr-Cyrl-BA"/>
        </w:rPr>
        <w:t>обухвата</w:t>
      </w:r>
      <w:r w:rsidR="009628CE" w:rsidRPr="00CB25D5">
        <w:rPr>
          <w:lang w:val="sr-Cyrl-BA"/>
        </w:rPr>
        <w:t xml:space="preserve"> разноврсне облике пословних контаката и размјене информација са домаћим, страним и међународним институцијама,  организацијама, органима власти, као и удружењима и образовним установама. У првом реду то је сарадња са регулаторним органима Републике Српске (нпр. Агенција за банкарство, Агенција за осигурање и сл.), са органима Владе Републике Српске, са судовима и тужилаштвима Републике Српске, са образовним институцијама,</w:t>
      </w:r>
      <w:r w:rsidR="00A2023D">
        <w:rPr>
          <w:lang w:val="sr-Cyrl-BA"/>
        </w:rPr>
        <w:t xml:space="preserve"> </w:t>
      </w:r>
      <w:r w:rsidR="009628CE" w:rsidRPr="00CB25D5">
        <w:rPr>
          <w:lang w:val="sr-Cyrl-BA"/>
        </w:rPr>
        <w:t>струковним удружењима и сл., али и сарадња са институцијама Федерације БиХ, заједничким органима Босне и Херцеговине, регулаторним тијелима других држава, као и сарадња са међународним институцијама и асоцијацијама.</w:t>
      </w:r>
    </w:p>
    <w:p w14:paraId="474148DA" w14:textId="77777777" w:rsidR="0075782C" w:rsidRPr="0075782C" w:rsidRDefault="0075782C" w:rsidP="006B6E0C">
      <w:pPr>
        <w:pStyle w:val="Heading3"/>
        <w:spacing w:line="240" w:lineRule="auto"/>
        <w:ind w:left="567" w:hanging="567"/>
        <w:rPr>
          <w:rFonts w:ascii="Times New Roman" w:hAnsi="Times New Roman"/>
          <w:lang w:val="sr-Cyrl-BA"/>
        </w:rPr>
      </w:pPr>
      <w:bookmarkStart w:id="80" w:name="_Toc167960438"/>
      <w:r w:rsidRPr="0075782C">
        <w:rPr>
          <w:rFonts w:ascii="Times New Roman" w:hAnsi="Times New Roman"/>
          <w:lang w:val="sr-Cyrl-BA"/>
        </w:rPr>
        <w:t>Међународна сарадња</w:t>
      </w:r>
      <w:bookmarkEnd w:id="80"/>
    </w:p>
    <w:p w14:paraId="6DC2242B" w14:textId="77777777" w:rsidR="002E4D61" w:rsidRPr="00730BD2" w:rsidRDefault="002E4D61" w:rsidP="006B6E0C">
      <w:pPr>
        <w:pStyle w:val="Heading4"/>
        <w:spacing w:line="240" w:lineRule="auto"/>
        <w:ind w:left="851" w:hanging="851"/>
        <w:rPr>
          <w:rFonts w:ascii="Times New Roman" w:hAnsi="Times New Roman" w:cs="Times New Roman"/>
          <w:lang w:val="sr-Cyrl-BA"/>
        </w:rPr>
      </w:pPr>
      <w:proofErr w:type="spellStart"/>
      <w:r w:rsidRPr="00730BD2">
        <w:rPr>
          <w:rFonts w:ascii="Times New Roman" w:hAnsi="Times New Roman" w:cs="Times New Roman"/>
        </w:rPr>
        <w:t>Административни</w:t>
      </w:r>
      <w:proofErr w:type="spellEnd"/>
      <w:r w:rsidRPr="00730BD2">
        <w:rPr>
          <w:rFonts w:ascii="Times New Roman" w:hAnsi="Times New Roman" w:cs="Times New Roman"/>
          <w:lang w:val="sr-Cyrl-BA"/>
        </w:rPr>
        <w:t xml:space="preserve"> споразум</w:t>
      </w:r>
    </w:p>
    <w:p w14:paraId="2D67567B" w14:textId="49FF0375" w:rsidR="002E4D61" w:rsidRPr="0075782C" w:rsidRDefault="002E4D61" w:rsidP="006B6E0C">
      <w:pPr>
        <w:pStyle w:val="Default"/>
        <w:spacing w:before="120"/>
        <w:ind w:firstLine="567"/>
        <w:jc w:val="both"/>
        <w:rPr>
          <w:lang w:val="sr-Cyrl-BA"/>
        </w:rPr>
      </w:pPr>
      <w:r w:rsidRPr="0075782C">
        <w:rPr>
          <w:lang w:val="sr-Cyrl-BA"/>
        </w:rPr>
        <w:t xml:space="preserve">Комисија </w:t>
      </w:r>
      <w:r w:rsidR="001D4197">
        <w:rPr>
          <w:lang w:val="sr-Cyrl-BA"/>
        </w:rPr>
        <w:t>је у 2019. години</w:t>
      </w:r>
      <w:r w:rsidR="001D4197" w:rsidRPr="0075782C">
        <w:rPr>
          <w:lang w:val="sr-Cyrl-BA"/>
        </w:rPr>
        <w:t xml:space="preserve"> </w:t>
      </w:r>
      <w:r w:rsidRPr="0075782C">
        <w:rPr>
          <w:lang w:val="sr-Cyrl-BA"/>
        </w:rPr>
        <w:t>постала потписник Административног споразум</w:t>
      </w:r>
      <w:r w:rsidR="00032E84">
        <w:rPr>
          <w:lang w:val="sr-Cyrl-BA"/>
        </w:rPr>
        <w:t>а</w:t>
      </w:r>
      <w:r w:rsidRPr="0075782C">
        <w:rPr>
          <w:lang w:val="sr-Cyrl-BA"/>
        </w:rPr>
        <w:t xml:space="preserve"> за </w:t>
      </w:r>
      <w:proofErr w:type="spellStart"/>
      <w:r w:rsidRPr="0075782C">
        <w:rPr>
          <w:lang w:val="sr-Cyrl-BA"/>
        </w:rPr>
        <w:t>пренос</w:t>
      </w:r>
      <w:proofErr w:type="spellEnd"/>
      <w:r w:rsidRPr="0075782C">
        <w:rPr>
          <w:lang w:val="sr-Cyrl-BA"/>
        </w:rPr>
        <w:t xml:space="preserve"> личних података између сваког надлежног органа Европског економског простора (ЕЕП) наведеног у Прилогу А и сваког надлежног органа ван Европског економског простора (ЕЕП)</w:t>
      </w:r>
      <w:r w:rsidRPr="0075782C">
        <w:rPr>
          <w:rFonts w:asciiTheme="minorHAnsi" w:hAnsiTheme="minorHAnsi"/>
          <w:lang w:val="sr-Cyrl-BA"/>
        </w:rPr>
        <w:t xml:space="preserve"> </w:t>
      </w:r>
      <w:r w:rsidRPr="0075782C">
        <w:rPr>
          <w:lang w:val="sr-Cyrl-BA"/>
        </w:rPr>
        <w:t>наведеног у Прилогу Б</w:t>
      </w:r>
      <w:r w:rsidR="00A92F69">
        <w:rPr>
          <w:rStyle w:val="FootnoteReference"/>
          <w:lang w:val="sr-Cyrl-BA"/>
        </w:rPr>
        <w:footnoteReference w:id="18"/>
      </w:r>
      <w:r w:rsidRPr="0075782C">
        <w:rPr>
          <w:i/>
          <w:lang w:val="sr-Cyrl-BA"/>
        </w:rPr>
        <w:t xml:space="preserve"> </w:t>
      </w:r>
      <w:r w:rsidRPr="0075782C">
        <w:rPr>
          <w:lang w:val="sr-Cyrl-BA"/>
        </w:rPr>
        <w:t>-</w:t>
      </w:r>
      <w:r w:rsidRPr="0075782C">
        <w:rPr>
          <w:i/>
          <w:lang w:val="sr-Cyrl-BA"/>
        </w:rPr>
        <w:t xml:space="preserve"> </w:t>
      </w:r>
      <w:r w:rsidRPr="0075782C">
        <w:rPr>
          <w:lang w:val="sr-Cyrl-BA"/>
        </w:rPr>
        <w:t xml:space="preserve">у даљем тексту: Административни споразум. </w:t>
      </w:r>
    </w:p>
    <w:p w14:paraId="706D657A" w14:textId="0D2B9B13" w:rsidR="002E4D61" w:rsidRPr="0075782C" w:rsidRDefault="002E4D61" w:rsidP="006B6E0C">
      <w:pPr>
        <w:pStyle w:val="Default"/>
        <w:spacing w:before="120"/>
        <w:ind w:firstLine="567"/>
        <w:jc w:val="both"/>
        <w:rPr>
          <w:lang w:val="sr-Cyrl-BA"/>
        </w:rPr>
      </w:pPr>
      <w:r w:rsidRPr="0075782C">
        <w:rPr>
          <w:lang w:val="sr-Cyrl-BA"/>
        </w:rPr>
        <w:t xml:space="preserve">Под надлежним органима из/изван ЕЕП мисли се на </w:t>
      </w:r>
      <w:r w:rsidR="00861C8B" w:rsidRPr="0075782C">
        <w:rPr>
          <w:lang w:val="sr-Cyrl-BA"/>
        </w:rPr>
        <w:t>институције</w:t>
      </w:r>
      <w:r w:rsidRPr="0075782C">
        <w:rPr>
          <w:lang w:val="sr-Cyrl-BA"/>
        </w:rPr>
        <w:t>/регулаторе, чланице Међународне организације комисија за хартије од вриједности (</w:t>
      </w:r>
      <w:proofErr w:type="spellStart"/>
      <w:r w:rsidRPr="0075782C">
        <w:rPr>
          <w:lang w:val="sr-Cyrl-BA"/>
        </w:rPr>
        <w:t>енг</w:t>
      </w:r>
      <w:proofErr w:type="spellEnd"/>
      <w:r w:rsidRPr="0075782C">
        <w:rPr>
          <w:lang w:val="sr-Cyrl-BA"/>
        </w:rPr>
        <w:t xml:space="preserve">. </w:t>
      </w:r>
      <w:r w:rsidRPr="00861C8B">
        <w:rPr>
          <w:lang w:val="en-US"/>
        </w:rPr>
        <w:t>International</w:t>
      </w:r>
      <w:r w:rsidRPr="00C86142">
        <w:rPr>
          <w:lang w:val="sr-Cyrl-BA"/>
        </w:rPr>
        <w:t xml:space="preserve"> </w:t>
      </w:r>
      <w:r w:rsidRPr="00861C8B">
        <w:rPr>
          <w:lang w:val="en-US"/>
        </w:rPr>
        <w:t>Organization</w:t>
      </w:r>
      <w:r w:rsidRPr="00C86142">
        <w:rPr>
          <w:lang w:val="sr-Cyrl-BA"/>
        </w:rPr>
        <w:t xml:space="preserve"> </w:t>
      </w:r>
      <w:r w:rsidRPr="00861C8B">
        <w:rPr>
          <w:lang w:val="en-US"/>
        </w:rPr>
        <w:t>of</w:t>
      </w:r>
      <w:r w:rsidRPr="00C86142">
        <w:rPr>
          <w:lang w:val="sr-Cyrl-BA"/>
        </w:rPr>
        <w:t xml:space="preserve"> </w:t>
      </w:r>
      <w:r w:rsidRPr="00861C8B">
        <w:rPr>
          <w:lang w:val="en-US"/>
        </w:rPr>
        <w:t>Securities</w:t>
      </w:r>
      <w:r w:rsidRPr="00C86142">
        <w:rPr>
          <w:lang w:val="sr-Cyrl-BA"/>
        </w:rPr>
        <w:t xml:space="preserve"> </w:t>
      </w:r>
      <w:r w:rsidRPr="00861C8B">
        <w:rPr>
          <w:lang w:val="en-US"/>
        </w:rPr>
        <w:t>Commissions</w:t>
      </w:r>
      <w:r w:rsidRPr="0075782C">
        <w:rPr>
          <w:lang w:val="sr-Cyrl-BA"/>
        </w:rPr>
        <w:t xml:space="preserve"> – IOSCO), које су потписнице IOSCO Међународног меморандум о разумијевању у вези с консултацијама и сарадњом и размјеном информација</w:t>
      </w:r>
      <w:r w:rsidR="00A92F69">
        <w:rPr>
          <w:rStyle w:val="FootnoteReference"/>
          <w:lang w:val="sr-Cyrl-BA"/>
        </w:rPr>
        <w:footnoteReference w:id="19"/>
      </w:r>
      <w:r w:rsidRPr="0075782C">
        <w:rPr>
          <w:lang w:val="sr-Cyrl-BA"/>
        </w:rPr>
        <w:t xml:space="preserve"> и/или</w:t>
      </w:r>
      <w:r w:rsidRPr="0075782C">
        <w:rPr>
          <w:i/>
          <w:lang w:val="sr-Cyrl-BA"/>
        </w:rPr>
        <w:t xml:space="preserve"> </w:t>
      </w:r>
      <w:r w:rsidRPr="0075782C">
        <w:rPr>
          <w:lang w:val="sr-Cyrl-BA"/>
        </w:rPr>
        <w:t>IOSCO</w:t>
      </w:r>
      <w:r w:rsidRPr="0075782C">
        <w:rPr>
          <w:i/>
          <w:lang w:val="sr-Cyrl-BA"/>
        </w:rPr>
        <w:t xml:space="preserve"> </w:t>
      </w:r>
      <w:r w:rsidRPr="0075782C">
        <w:rPr>
          <w:lang w:val="sr-Cyrl-BA"/>
        </w:rPr>
        <w:t>Унапријеђеног међународног меморандум о разумијевању у вези с консултацијама и сарадњом и размјеном информација</w:t>
      </w:r>
      <w:r w:rsidR="00A92F69">
        <w:rPr>
          <w:rStyle w:val="FootnoteReference"/>
          <w:lang w:val="sr-Cyrl-BA"/>
        </w:rPr>
        <w:footnoteReference w:id="20"/>
      </w:r>
      <w:r w:rsidRPr="0075782C">
        <w:rPr>
          <w:lang w:val="sr-Cyrl-BA"/>
        </w:rPr>
        <w:t xml:space="preserve">. У </w:t>
      </w:r>
      <w:r w:rsidRPr="0075782C">
        <w:rPr>
          <w:lang w:val="sr-Cyrl-BA"/>
        </w:rPr>
        <w:lastRenderedPageBreak/>
        <w:t>Прилогу А је листа ових институција/регулатора које припадају ЕЕП, док је у Прилогу Б листа институције/регулаторе изван ЕЕП.</w:t>
      </w:r>
    </w:p>
    <w:p w14:paraId="2FDAED63" w14:textId="77777777" w:rsidR="002E4D61" w:rsidRPr="0075782C" w:rsidRDefault="002E4D61" w:rsidP="006B6E0C">
      <w:pPr>
        <w:pStyle w:val="Default"/>
        <w:spacing w:before="120"/>
        <w:ind w:firstLine="567"/>
        <w:jc w:val="both"/>
        <w:rPr>
          <w:lang w:val="sr-Cyrl-BA"/>
        </w:rPr>
      </w:pPr>
      <w:r w:rsidRPr="0075782C">
        <w:rPr>
          <w:lang w:val="sr-Cyrl-BA"/>
        </w:rPr>
        <w:t>У мају 2018. године у Европској унији је ступила на снагу Уредба о заштити личних података (</w:t>
      </w:r>
      <w:proofErr w:type="spellStart"/>
      <w:r w:rsidRPr="0075782C">
        <w:rPr>
          <w:lang w:val="sr-Cyrl-BA"/>
        </w:rPr>
        <w:t>енг</w:t>
      </w:r>
      <w:proofErr w:type="spellEnd"/>
      <w:r w:rsidRPr="0075782C">
        <w:rPr>
          <w:lang w:val="sr-Cyrl-BA"/>
        </w:rPr>
        <w:t xml:space="preserve">. </w:t>
      </w:r>
      <w:r w:rsidRPr="00CB25D5">
        <w:rPr>
          <w:lang w:val="en-US"/>
        </w:rPr>
        <w:t>General</w:t>
      </w:r>
      <w:r w:rsidRPr="00E865BB">
        <w:rPr>
          <w:lang w:val="sr-Cyrl-BA"/>
        </w:rPr>
        <w:t xml:space="preserve"> </w:t>
      </w:r>
      <w:r w:rsidRPr="00CB25D5">
        <w:rPr>
          <w:lang w:val="en-US"/>
        </w:rPr>
        <w:t>Data</w:t>
      </w:r>
      <w:r w:rsidRPr="00E865BB">
        <w:rPr>
          <w:lang w:val="sr-Cyrl-BA"/>
        </w:rPr>
        <w:t xml:space="preserve"> </w:t>
      </w:r>
      <w:r w:rsidRPr="00CB25D5">
        <w:rPr>
          <w:lang w:val="en-US"/>
        </w:rPr>
        <w:t>Protection</w:t>
      </w:r>
      <w:r w:rsidRPr="00E865BB">
        <w:rPr>
          <w:lang w:val="sr-Cyrl-BA"/>
        </w:rPr>
        <w:t xml:space="preserve"> </w:t>
      </w:r>
      <w:r w:rsidRPr="00CB25D5">
        <w:rPr>
          <w:lang w:val="en-US"/>
        </w:rPr>
        <w:t>Regulation</w:t>
      </w:r>
      <w:r w:rsidRPr="0075782C">
        <w:rPr>
          <w:lang w:val="sr-Cyrl-BA"/>
        </w:rPr>
        <w:t xml:space="preserve"> – GDPR). Ова уредба може утицати на </w:t>
      </w:r>
      <w:proofErr w:type="spellStart"/>
      <w:r w:rsidRPr="0075782C">
        <w:rPr>
          <w:lang w:val="sr-Cyrl-BA"/>
        </w:rPr>
        <w:t>пренос</w:t>
      </w:r>
      <w:proofErr w:type="spellEnd"/>
      <w:r w:rsidRPr="0075782C">
        <w:rPr>
          <w:lang w:val="sr-Cyrl-BA"/>
        </w:rPr>
        <w:t xml:space="preserve"> личних података између IOSCO чланица које су из ЕЕП и које не припадају ЕЕП и потенцијално омета размјену информација између потписница IOSCO </w:t>
      </w:r>
      <w:proofErr w:type="spellStart"/>
      <w:r w:rsidRPr="0075782C">
        <w:rPr>
          <w:lang w:val="sr-Cyrl-BA"/>
        </w:rPr>
        <w:t>MMoU</w:t>
      </w:r>
      <w:proofErr w:type="spellEnd"/>
      <w:r w:rsidRPr="0075782C">
        <w:rPr>
          <w:lang w:val="sr-Cyrl-BA"/>
        </w:rPr>
        <w:t xml:space="preserve"> и </w:t>
      </w:r>
      <w:proofErr w:type="spellStart"/>
      <w:r w:rsidRPr="0075782C">
        <w:rPr>
          <w:lang w:val="sr-Cyrl-BA"/>
        </w:rPr>
        <w:t>EMMoU</w:t>
      </w:r>
      <w:proofErr w:type="spellEnd"/>
      <w:r w:rsidRPr="0075782C">
        <w:rPr>
          <w:lang w:val="sr-Cyrl-BA"/>
        </w:rPr>
        <w:t xml:space="preserve">. Један механизам под GDPR за </w:t>
      </w:r>
      <w:proofErr w:type="spellStart"/>
      <w:r w:rsidRPr="0075782C">
        <w:rPr>
          <w:lang w:val="sr-Cyrl-BA"/>
        </w:rPr>
        <w:t>пренос</w:t>
      </w:r>
      <w:proofErr w:type="spellEnd"/>
      <w:r w:rsidRPr="0075782C">
        <w:rPr>
          <w:lang w:val="sr-Cyrl-BA"/>
        </w:rPr>
        <w:t xml:space="preserve"> личних података изван зоне ЕЕП је и овај административни споразум са одговарајућим заштитним механизмом.</w:t>
      </w:r>
    </w:p>
    <w:p w14:paraId="7CD1B060" w14:textId="7BEEBAAF" w:rsidR="002E4D61" w:rsidRPr="0075782C" w:rsidRDefault="002E4D61" w:rsidP="006B6E0C">
      <w:pPr>
        <w:pStyle w:val="Default"/>
        <w:spacing w:before="120"/>
        <w:ind w:firstLine="567"/>
        <w:jc w:val="both"/>
        <w:rPr>
          <w:lang w:val="sr-Cyrl-BA"/>
        </w:rPr>
      </w:pPr>
      <w:r w:rsidRPr="0075782C">
        <w:rPr>
          <w:lang w:val="sr-Cyrl-BA"/>
        </w:rPr>
        <w:t xml:space="preserve">Овај административни </w:t>
      </w:r>
      <w:r w:rsidR="00861C8B">
        <w:rPr>
          <w:lang w:val="sr-Cyrl-BA"/>
        </w:rPr>
        <w:t>споразум</w:t>
      </w:r>
      <w:r w:rsidRPr="0075782C">
        <w:rPr>
          <w:lang w:val="sr-Cyrl-BA"/>
        </w:rPr>
        <w:t xml:space="preserve"> је ограничен на </w:t>
      </w:r>
      <w:proofErr w:type="spellStart"/>
      <w:r w:rsidRPr="0075782C">
        <w:rPr>
          <w:lang w:val="sr-Cyrl-BA"/>
        </w:rPr>
        <w:t>пренос</w:t>
      </w:r>
      <w:proofErr w:type="spellEnd"/>
      <w:r w:rsidRPr="0075782C">
        <w:rPr>
          <w:lang w:val="sr-Cyrl-BA"/>
        </w:rPr>
        <w:t xml:space="preserve"> личних података између надлежних органа ЕЕП и надлежних органа ван ЕЕП, у њиховом својству органа јавне власти, регулатора и/или надзорних органа тржишта хартија од вриједности и/или деривата. Надлежни органи се обавезују на успостављање одговарајућих заштитних мјера обраде таквих личних података приликом извршавања својих регулаторних мандата и одговорности. </w:t>
      </w:r>
    </w:p>
    <w:p w14:paraId="136842AC" w14:textId="77777777" w:rsidR="002E4D61" w:rsidRPr="0075782C" w:rsidRDefault="002E4D61" w:rsidP="006B6E0C">
      <w:pPr>
        <w:pStyle w:val="Default"/>
        <w:spacing w:before="120"/>
        <w:ind w:firstLine="567"/>
        <w:jc w:val="both"/>
        <w:rPr>
          <w:lang w:val="sr-Cyrl-BA"/>
        </w:rPr>
      </w:pPr>
      <w:r w:rsidRPr="0075782C">
        <w:rPr>
          <w:lang w:val="sr-Cyrl-BA"/>
        </w:rPr>
        <w:t xml:space="preserve">Специфична намјена овог административног споразума је да омогући заштитне мјере </w:t>
      </w:r>
      <w:proofErr w:type="spellStart"/>
      <w:r w:rsidRPr="0075782C">
        <w:rPr>
          <w:lang w:val="sr-Cyrl-BA"/>
        </w:rPr>
        <w:t>преноса</w:t>
      </w:r>
      <w:proofErr w:type="spellEnd"/>
      <w:r w:rsidRPr="0075782C">
        <w:rPr>
          <w:lang w:val="sr-Cyrl-BA"/>
        </w:rPr>
        <w:t xml:space="preserve"> личних података. Надлежни органи имају регулаторне мандате и одговорности који укључују заштиту инвеститора и клијената и подстицање интегритета и повјерења у тржишта хартија од вриједности и/или деривата. Лични подаци се преносе између надлежних органа како би се подржале те одговорности и не преносе се у друге сврхе као што су маркетинг или комерцијални разлози. </w:t>
      </w:r>
    </w:p>
    <w:p w14:paraId="21D27443" w14:textId="77777777" w:rsidR="002E4D61" w:rsidRPr="0075782C" w:rsidRDefault="002E4D61" w:rsidP="006B6E0C">
      <w:pPr>
        <w:pStyle w:val="Default"/>
        <w:spacing w:before="120"/>
        <w:ind w:firstLine="567"/>
        <w:jc w:val="both"/>
        <w:rPr>
          <w:lang w:val="sr-Cyrl-BA"/>
        </w:rPr>
      </w:pPr>
      <w:r w:rsidRPr="0075782C">
        <w:rPr>
          <w:lang w:val="sr-Cyrl-BA"/>
        </w:rPr>
        <w:t xml:space="preserve">Надлежни орган који преноси податке преноси личне податке само у закониту и прецизирану сврху пружања помоћи надлежном органу који прима податке, како би исти остварио свој регулаторни мандат и одговорности, које укључују регулисање, управљање, надзирање, извршавање и </w:t>
      </w:r>
      <w:proofErr w:type="spellStart"/>
      <w:r w:rsidRPr="0075782C">
        <w:rPr>
          <w:lang w:val="sr-Cyrl-BA"/>
        </w:rPr>
        <w:t>обезбјеђивање</w:t>
      </w:r>
      <w:proofErr w:type="spellEnd"/>
      <w:r w:rsidRPr="0075782C">
        <w:rPr>
          <w:lang w:val="sr-Cyrl-BA"/>
        </w:rPr>
        <w:t xml:space="preserve"> усклађености са законима који регулишу хартије од вриједности и деривате у њиховој јурисдикцији. Надлежни орган који прима податке неће даље обрађивати личне податке на начин који није у складу са овом сврхом, нити у сврху која може бити наведена у било којем захтјеву за информацијом.</w:t>
      </w:r>
    </w:p>
    <w:p w14:paraId="21C2F586" w14:textId="77777777" w:rsidR="002E4D61" w:rsidRDefault="002E4D61" w:rsidP="006B6E0C">
      <w:pPr>
        <w:pStyle w:val="Default"/>
        <w:spacing w:before="120"/>
        <w:ind w:firstLine="567"/>
        <w:jc w:val="both"/>
        <w:rPr>
          <w:lang w:val="sr-Cyrl-BA"/>
        </w:rPr>
      </w:pPr>
      <w:r w:rsidRPr="0075782C">
        <w:rPr>
          <w:lang w:val="sr-Cyrl-BA"/>
        </w:rPr>
        <w:t>Називи потписница Административног споразума објављени су на интернет страници IOSCO.</w:t>
      </w:r>
    </w:p>
    <w:p w14:paraId="4F51DE96" w14:textId="2F0890A6" w:rsidR="002E4D61" w:rsidRPr="006032BF" w:rsidRDefault="0075782C" w:rsidP="006B6E0C">
      <w:pPr>
        <w:pStyle w:val="Heading4"/>
        <w:spacing w:line="240" w:lineRule="auto"/>
        <w:ind w:left="851" w:hanging="851"/>
        <w:rPr>
          <w:rFonts w:ascii="Times New Roman" w:hAnsi="Times New Roman" w:cs="Times New Roman"/>
          <w:lang w:val="sr-Cyrl-BA"/>
        </w:rPr>
      </w:pPr>
      <w:r w:rsidRPr="006032BF">
        <w:rPr>
          <w:rFonts w:ascii="Times New Roman" w:hAnsi="Times New Roman" w:cs="Times New Roman"/>
          <w:lang w:val="sr-Cyrl-BA"/>
        </w:rPr>
        <w:t xml:space="preserve">Међународни меморандум о разумијевању - </w:t>
      </w:r>
      <w:r w:rsidRPr="00730BD2">
        <w:rPr>
          <w:rFonts w:ascii="Times New Roman" w:hAnsi="Times New Roman" w:cs="Times New Roman"/>
        </w:rPr>
        <w:t>IOSCO</w:t>
      </w:r>
      <w:r w:rsidRPr="006032BF">
        <w:rPr>
          <w:rFonts w:ascii="Times New Roman" w:hAnsi="Times New Roman" w:cs="Times New Roman"/>
          <w:lang w:val="sr-Cyrl-BA"/>
        </w:rPr>
        <w:t xml:space="preserve"> </w:t>
      </w:r>
      <w:proofErr w:type="spellStart"/>
      <w:r w:rsidR="002E4D61" w:rsidRPr="00730BD2">
        <w:rPr>
          <w:rFonts w:ascii="Times New Roman" w:hAnsi="Times New Roman" w:cs="Times New Roman"/>
        </w:rPr>
        <w:t>MMoU</w:t>
      </w:r>
      <w:proofErr w:type="spellEnd"/>
    </w:p>
    <w:p w14:paraId="12D4F038" w14:textId="77777777" w:rsidR="002E4D61" w:rsidRPr="0075782C" w:rsidRDefault="002E4D61" w:rsidP="006B6E0C">
      <w:pPr>
        <w:pStyle w:val="Default"/>
        <w:spacing w:before="120"/>
        <w:ind w:firstLine="567"/>
        <w:jc w:val="both"/>
        <w:rPr>
          <w:lang w:val="sr-Cyrl-BA"/>
        </w:rPr>
      </w:pPr>
      <w:r w:rsidRPr="0075782C">
        <w:rPr>
          <w:lang w:val="sr-Cyrl-BA"/>
        </w:rPr>
        <w:t xml:space="preserve">IOSCO </w:t>
      </w:r>
      <w:proofErr w:type="spellStart"/>
      <w:r w:rsidRPr="0075782C">
        <w:rPr>
          <w:lang w:val="sr-Cyrl-BA"/>
        </w:rPr>
        <w:t>MMoU</w:t>
      </w:r>
      <w:proofErr w:type="spellEnd"/>
      <w:r w:rsidRPr="0075782C">
        <w:rPr>
          <w:lang w:val="sr-Cyrl-BA"/>
        </w:rPr>
        <w:t xml:space="preserve"> (чији је Комисија потписник од октобра 2009. године, као један од 124 регулатора тржишта хартија од вриједности у свијету) је </w:t>
      </w:r>
      <w:proofErr w:type="spellStart"/>
      <w:r w:rsidRPr="0075782C">
        <w:rPr>
          <w:lang w:val="sr-Cyrl-BA"/>
        </w:rPr>
        <w:t>обезбиједио</w:t>
      </w:r>
      <w:proofErr w:type="spellEnd"/>
      <w:r w:rsidRPr="0075782C">
        <w:rPr>
          <w:lang w:val="sr-Cyrl-BA"/>
        </w:rPr>
        <w:t xml:space="preserve"> регулаторима тржишта хартија од вриједности важно средство за борбу против </w:t>
      </w:r>
      <w:proofErr w:type="spellStart"/>
      <w:r w:rsidRPr="0075782C">
        <w:rPr>
          <w:lang w:val="sr-Cyrl-BA"/>
        </w:rPr>
        <w:t>прекограничне</w:t>
      </w:r>
      <w:proofErr w:type="spellEnd"/>
      <w:r w:rsidRPr="0075782C">
        <w:rPr>
          <w:lang w:val="sr-Cyrl-BA"/>
        </w:rPr>
        <w:t xml:space="preserve"> преваре и злоупотребе тржишта. Овај документ је широко подржан и међународно признат, укључујући и од стране Г20.</w:t>
      </w:r>
    </w:p>
    <w:p w14:paraId="08DDB724" w14:textId="331F0B9D" w:rsidR="00B85F96" w:rsidRPr="0075782C" w:rsidRDefault="002E4D61" w:rsidP="002C66E2">
      <w:pPr>
        <w:pStyle w:val="Default"/>
        <w:spacing w:before="120"/>
        <w:ind w:firstLine="567"/>
        <w:jc w:val="both"/>
        <w:rPr>
          <w:lang w:val="sr-Cyrl-BA"/>
        </w:rPr>
      </w:pPr>
      <w:r w:rsidRPr="0075782C">
        <w:rPr>
          <w:lang w:val="sr-Cyrl-BA"/>
        </w:rPr>
        <w:t xml:space="preserve">Јачање сарадње у провођењу законских прописа везаних за тржиште капитала, је критична тачка у борби против финансијског криминала који не познаје границе. У глобалном финансијском окружењу, учешће сваке комисије за хартије од вриједности у овој мрежи је од виталног значаја да би се на ефектан начин борили против кршења законских прописа везаних за трансакције хартијама од вриједности у цијелом свијету и против </w:t>
      </w:r>
      <w:proofErr w:type="spellStart"/>
      <w:r w:rsidRPr="0075782C">
        <w:rPr>
          <w:lang w:val="sr-Cyrl-BA"/>
        </w:rPr>
        <w:t>превара</w:t>
      </w:r>
      <w:proofErr w:type="spellEnd"/>
      <w:r w:rsidRPr="0075782C">
        <w:rPr>
          <w:lang w:val="sr-Cyrl-BA"/>
        </w:rPr>
        <w:t xml:space="preserve"> везаних за тржиште хартија од вриједности.</w:t>
      </w:r>
      <w:r w:rsidR="00B85F96" w:rsidRPr="00B85F96">
        <w:rPr>
          <w:lang w:val="sr-Cyrl-BA" w:eastAsia="en-GB"/>
        </w:rPr>
        <w:t xml:space="preserve"> </w:t>
      </w:r>
    </w:p>
    <w:p w14:paraId="4136D954" w14:textId="40D31E9F" w:rsidR="002E4D61" w:rsidRPr="006032BF" w:rsidRDefault="0075782C" w:rsidP="006B6E0C">
      <w:pPr>
        <w:pStyle w:val="Heading4"/>
        <w:spacing w:line="240" w:lineRule="auto"/>
        <w:ind w:left="851" w:hanging="851"/>
        <w:rPr>
          <w:rFonts w:ascii="Times New Roman" w:hAnsi="Times New Roman" w:cs="Times New Roman"/>
          <w:lang w:val="sr-Cyrl-BA"/>
        </w:rPr>
      </w:pPr>
      <w:r w:rsidRPr="006032BF">
        <w:rPr>
          <w:rFonts w:ascii="Times New Roman" w:hAnsi="Times New Roman" w:cs="Times New Roman"/>
          <w:lang w:val="sr-Cyrl-BA"/>
        </w:rPr>
        <w:t xml:space="preserve">Унапријеђени међународни меморандум о разумијевању - </w:t>
      </w:r>
      <w:r w:rsidRPr="00730BD2">
        <w:rPr>
          <w:rFonts w:ascii="Times New Roman" w:hAnsi="Times New Roman" w:cs="Times New Roman"/>
        </w:rPr>
        <w:t>IOSCO</w:t>
      </w:r>
      <w:r w:rsidRPr="006032BF">
        <w:rPr>
          <w:rFonts w:ascii="Times New Roman" w:hAnsi="Times New Roman" w:cs="Times New Roman"/>
          <w:lang w:val="sr-Cyrl-BA"/>
        </w:rPr>
        <w:t xml:space="preserve"> </w:t>
      </w:r>
      <w:proofErr w:type="spellStart"/>
      <w:r w:rsidR="002E4D61" w:rsidRPr="00730BD2">
        <w:rPr>
          <w:rFonts w:ascii="Times New Roman" w:hAnsi="Times New Roman" w:cs="Times New Roman"/>
        </w:rPr>
        <w:t>EMMoU</w:t>
      </w:r>
      <w:proofErr w:type="spellEnd"/>
    </w:p>
    <w:p w14:paraId="703C35B1" w14:textId="77777777" w:rsidR="002E4D61" w:rsidRPr="0075782C" w:rsidRDefault="002E4D61" w:rsidP="006B6E0C">
      <w:pPr>
        <w:pStyle w:val="Default"/>
        <w:spacing w:before="120"/>
        <w:ind w:firstLine="567"/>
        <w:jc w:val="both"/>
        <w:rPr>
          <w:lang w:val="sr-Cyrl-BA"/>
        </w:rPr>
      </w:pPr>
      <w:r w:rsidRPr="0075782C">
        <w:rPr>
          <w:lang w:val="sr-Cyrl-BA"/>
        </w:rPr>
        <w:t xml:space="preserve">У посљедњих неколико година тржишта капитала су прошла кроз суштинске промјене вођене напретком технологије. Те промјене истовремено представљају нове </w:t>
      </w:r>
      <w:r w:rsidRPr="0075782C">
        <w:rPr>
          <w:lang w:val="sr-Cyrl-BA"/>
        </w:rPr>
        <w:lastRenderedPageBreak/>
        <w:t xml:space="preserve">изазове за регулаторе, што је и разлог за идеју о новом Унапријеђеном међународном меморандуму о разумијевању (IOSCO </w:t>
      </w:r>
      <w:proofErr w:type="spellStart"/>
      <w:r w:rsidRPr="0075782C">
        <w:rPr>
          <w:lang w:val="sr-Cyrl-BA"/>
        </w:rPr>
        <w:t>EMMoU</w:t>
      </w:r>
      <w:proofErr w:type="spellEnd"/>
      <w:r w:rsidRPr="0075782C">
        <w:rPr>
          <w:lang w:val="sr-Cyrl-BA"/>
        </w:rPr>
        <w:t xml:space="preserve">). Циљ </w:t>
      </w:r>
      <w:proofErr w:type="spellStart"/>
      <w:r w:rsidRPr="0075782C">
        <w:rPr>
          <w:lang w:val="sr-Cyrl-BA"/>
        </w:rPr>
        <w:t>унапређења</w:t>
      </w:r>
      <w:proofErr w:type="spellEnd"/>
      <w:r w:rsidRPr="0075782C">
        <w:rPr>
          <w:lang w:val="sr-Cyrl-BA"/>
        </w:rPr>
        <w:t xml:space="preserve"> </w:t>
      </w:r>
      <w:proofErr w:type="spellStart"/>
      <w:r w:rsidRPr="0075782C">
        <w:rPr>
          <w:lang w:val="sr-Cyrl-BA"/>
        </w:rPr>
        <w:t>MMoU</w:t>
      </w:r>
      <w:proofErr w:type="spellEnd"/>
      <w:r w:rsidRPr="0075782C">
        <w:rPr>
          <w:lang w:val="sr-Cyrl-BA"/>
        </w:rPr>
        <w:t xml:space="preserve"> је да се повећа надлежност коју већ даје </w:t>
      </w:r>
      <w:proofErr w:type="spellStart"/>
      <w:r w:rsidRPr="0075782C">
        <w:rPr>
          <w:lang w:val="sr-Cyrl-BA"/>
        </w:rPr>
        <w:t>MMoU</w:t>
      </w:r>
      <w:proofErr w:type="spellEnd"/>
      <w:r w:rsidRPr="0075782C">
        <w:rPr>
          <w:lang w:val="sr-Cyrl-BA"/>
        </w:rPr>
        <w:t xml:space="preserve">, како би се обухватиле и промјене у финансијској индустрији које су настале након што је успостављен </w:t>
      </w:r>
      <w:proofErr w:type="spellStart"/>
      <w:r w:rsidRPr="0075782C">
        <w:rPr>
          <w:lang w:val="sr-Cyrl-BA"/>
        </w:rPr>
        <w:t>MMoU</w:t>
      </w:r>
      <w:proofErr w:type="spellEnd"/>
      <w:r w:rsidRPr="0075782C">
        <w:rPr>
          <w:lang w:val="sr-Cyrl-BA"/>
        </w:rPr>
        <w:t xml:space="preserve">. </w:t>
      </w:r>
    </w:p>
    <w:p w14:paraId="50E4C0C2" w14:textId="77777777" w:rsidR="002E4D61" w:rsidRPr="0075782C" w:rsidRDefault="002E4D61" w:rsidP="006B6E0C">
      <w:pPr>
        <w:pStyle w:val="Default"/>
        <w:spacing w:before="120"/>
        <w:ind w:firstLine="567"/>
        <w:jc w:val="both"/>
        <w:rPr>
          <w:lang w:val="sr-Cyrl-BA"/>
        </w:rPr>
      </w:pPr>
      <w:r w:rsidRPr="0075782C">
        <w:rPr>
          <w:lang w:val="sr-Cyrl-BA"/>
        </w:rPr>
        <w:t xml:space="preserve">За IOSCO је од кључне важности да </w:t>
      </w:r>
      <w:proofErr w:type="spellStart"/>
      <w:r w:rsidRPr="0075782C">
        <w:rPr>
          <w:lang w:val="sr-Cyrl-BA"/>
        </w:rPr>
        <w:t>његује</w:t>
      </w:r>
      <w:proofErr w:type="spellEnd"/>
      <w:r w:rsidRPr="0075782C">
        <w:rPr>
          <w:lang w:val="sr-Cyrl-BA"/>
        </w:rPr>
        <w:t xml:space="preserve"> и штити међународну сарадњу тако што ће осигурати да међународни стандарди сарадње буду стално актуелни. IOSCO </w:t>
      </w:r>
      <w:proofErr w:type="spellStart"/>
      <w:r w:rsidRPr="0075782C">
        <w:rPr>
          <w:lang w:val="sr-Cyrl-BA"/>
        </w:rPr>
        <w:t>EMMoU</w:t>
      </w:r>
      <w:proofErr w:type="spellEnd"/>
      <w:r w:rsidRPr="0075782C">
        <w:rPr>
          <w:lang w:val="sr-Cyrl-BA"/>
        </w:rPr>
        <w:t xml:space="preserve"> је креиран као стандард који посебно обухвата додатне кључне надлежности које помажу регулаторима у свакодневним активностима, а који прихвата нове изазове креиране технолошким напретком. Тиме се регулаторима обезбјеђују ефикасно спровођење и међународна сарадња у регулисању тржишта хартија од вриједности. Свеобухватни циљ стварања IOSCO </w:t>
      </w:r>
      <w:proofErr w:type="spellStart"/>
      <w:r w:rsidRPr="0075782C">
        <w:rPr>
          <w:lang w:val="sr-Cyrl-BA"/>
        </w:rPr>
        <w:t>MMoU</w:t>
      </w:r>
      <w:proofErr w:type="spellEnd"/>
      <w:r w:rsidRPr="0075782C">
        <w:rPr>
          <w:lang w:val="sr-Cyrl-BA"/>
        </w:rPr>
        <w:t xml:space="preserve"> је подизање и побољшање међународног регулаторног стандарда.</w:t>
      </w:r>
    </w:p>
    <w:p w14:paraId="72C3BD3F" w14:textId="77777777" w:rsidR="002E4D61" w:rsidRPr="0075782C" w:rsidRDefault="002E4D61" w:rsidP="006B6E0C">
      <w:pPr>
        <w:pStyle w:val="Default"/>
        <w:spacing w:before="120"/>
        <w:ind w:firstLine="567"/>
        <w:jc w:val="both"/>
        <w:rPr>
          <w:lang w:val="sr-Cyrl-BA"/>
        </w:rPr>
      </w:pPr>
      <w:r w:rsidRPr="0075782C">
        <w:rPr>
          <w:lang w:val="sr-Cyrl-BA"/>
        </w:rPr>
        <w:t xml:space="preserve">Разлика између IOSCO </w:t>
      </w:r>
      <w:proofErr w:type="spellStart"/>
      <w:r w:rsidRPr="0075782C">
        <w:rPr>
          <w:lang w:val="sr-Cyrl-BA"/>
        </w:rPr>
        <w:t>EMMoU</w:t>
      </w:r>
      <w:proofErr w:type="spellEnd"/>
      <w:r w:rsidRPr="0075782C">
        <w:rPr>
          <w:lang w:val="sr-Cyrl-BA"/>
        </w:rPr>
        <w:t xml:space="preserve"> и </w:t>
      </w:r>
      <w:proofErr w:type="spellStart"/>
      <w:r w:rsidRPr="0075782C">
        <w:rPr>
          <w:lang w:val="sr-Cyrl-BA"/>
        </w:rPr>
        <w:t>MMoU</w:t>
      </w:r>
      <w:proofErr w:type="spellEnd"/>
      <w:r w:rsidRPr="0075782C">
        <w:rPr>
          <w:lang w:val="sr-Cyrl-BA"/>
        </w:rPr>
        <w:t xml:space="preserve"> је у обиму помоћи коју пружа или тражи потписница </w:t>
      </w:r>
      <w:proofErr w:type="spellStart"/>
      <w:r w:rsidRPr="0075782C">
        <w:rPr>
          <w:lang w:val="sr-Cyrl-BA"/>
        </w:rPr>
        <w:t>EMMoU</w:t>
      </w:r>
      <w:proofErr w:type="spellEnd"/>
      <w:r w:rsidRPr="0075782C">
        <w:rPr>
          <w:lang w:val="sr-Cyrl-BA"/>
        </w:rPr>
        <w:t xml:space="preserve">, односно врсти помоћи и информација које се траже, односно пружају. </w:t>
      </w:r>
    </w:p>
    <w:p w14:paraId="5A4013DE" w14:textId="065DC6B0" w:rsidR="002E4D61" w:rsidRPr="0075782C" w:rsidRDefault="002E4D61" w:rsidP="006B6E0C">
      <w:pPr>
        <w:pStyle w:val="Default"/>
        <w:spacing w:before="120"/>
        <w:ind w:firstLine="567"/>
        <w:jc w:val="both"/>
        <w:rPr>
          <w:lang w:val="sr-Cyrl-BA"/>
        </w:rPr>
      </w:pPr>
      <w:r w:rsidRPr="0075782C">
        <w:rPr>
          <w:lang w:val="sr-Cyrl-BA"/>
        </w:rPr>
        <w:t xml:space="preserve">У 2018. </w:t>
      </w:r>
      <w:r w:rsidR="006B6E0C">
        <w:rPr>
          <w:lang w:val="sr-Cyrl-BA"/>
        </w:rPr>
        <w:t>години</w:t>
      </w:r>
      <w:r w:rsidRPr="0075782C">
        <w:rPr>
          <w:lang w:val="sr-Cyrl-BA"/>
        </w:rPr>
        <w:t xml:space="preserve"> Комисија је одржала неколико радних и консултативних састанака у вези с одлуком о стицању статуса потписнице </w:t>
      </w:r>
      <w:proofErr w:type="spellStart"/>
      <w:r w:rsidRPr="0075782C">
        <w:rPr>
          <w:lang w:val="sr-Cyrl-BA"/>
        </w:rPr>
        <w:t>EMMoU</w:t>
      </w:r>
      <w:proofErr w:type="spellEnd"/>
      <w:r w:rsidRPr="0075782C">
        <w:rPr>
          <w:lang w:val="sr-Cyrl-BA"/>
        </w:rPr>
        <w:t xml:space="preserve">. Разматране су могућности подношења захтјева за стицање статуса потписнице IOSCO </w:t>
      </w:r>
      <w:proofErr w:type="spellStart"/>
      <w:r w:rsidRPr="0075782C">
        <w:rPr>
          <w:lang w:val="sr-Cyrl-BA"/>
        </w:rPr>
        <w:t>EMMoU</w:t>
      </w:r>
      <w:proofErr w:type="spellEnd"/>
      <w:r w:rsidRPr="0075782C">
        <w:rPr>
          <w:lang w:val="sr-Cyrl-BA"/>
        </w:rPr>
        <w:t xml:space="preserve"> у складу са свим тзв. ACFIT надлежностима или са дијелом надлежности односно тзв. ACF надлежностима. ACFIT надлежности обухватају сљедећа овлашћења: </w:t>
      </w:r>
    </w:p>
    <w:p w14:paraId="674720C2" w14:textId="418A8D3A" w:rsidR="002E4D61" w:rsidRPr="0075782C" w:rsidRDefault="002E4D61" w:rsidP="006B6E0C">
      <w:pPr>
        <w:pStyle w:val="ListParagraph"/>
        <w:numPr>
          <w:ilvl w:val="0"/>
          <w:numId w:val="12"/>
        </w:numPr>
        <w:spacing w:before="0" w:after="0" w:line="240" w:lineRule="auto"/>
        <w:ind w:left="992" w:hanging="425"/>
        <w:contextualSpacing w:val="0"/>
        <w:rPr>
          <w:i/>
          <w:iCs/>
          <w:lang w:val="sr-Cyrl-BA"/>
        </w:rPr>
      </w:pPr>
      <w:r w:rsidRPr="0075782C">
        <w:rPr>
          <w:bCs/>
          <w:lang w:val="sr-Cyrl-BA"/>
        </w:rPr>
        <w:t>Добити ревизорске извјештаје</w:t>
      </w:r>
      <w:r w:rsidR="00D50A02">
        <w:rPr>
          <w:lang w:val="sr-Cyrl-BA"/>
        </w:rPr>
        <w:t>;</w:t>
      </w:r>
    </w:p>
    <w:p w14:paraId="2EC0AF02" w14:textId="3613CCE2" w:rsidR="002E4D61" w:rsidRPr="0075782C" w:rsidRDefault="002E4D61" w:rsidP="006B6E0C">
      <w:pPr>
        <w:pStyle w:val="ListParagraph"/>
        <w:numPr>
          <w:ilvl w:val="0"/>
          <w:numId w:val="12"/>
        </w:numPr>
        <w:spacing w:before="0" w:after="0" w:line="240" w:lineRule="auto"/>
        <w:ind w:left="992" w:hanging="425"/>
        <w:contextualSpacing w:val="0"/>
        <w:rPr>
          <w:lang w:val="sr-Cyrl-BA"/>
        </w:rPr>
      </w:pPr>
      <w:r w:rsidRPr="0075782C">
        <w:rPr>
          <w:bCs/>
          <w:lang w:val="sr-Cyrl-BA"/>
        </w:rPr>
        <w:t>Принудити (присилити) присуство странке за свједочење</w:t>
      </w:r>
      <w:r w:rsidRPr="0075782C">
        <w:rPr>
          <w:lang w:val="sr-Cyrl-BA"/>
        </w:rPr>
        <w:t xml:space="preserve"> (тако што ће моћи да примијене </w:t>
      </w:r>
      <w:r w:rsidR="00D50A02">
        <w:rPr>
          <w:lang w:val="sr-Cyrl-BA"/>
        </w:rPr>
        <w:t xml:space="preserve">санкције у случају </w:t>
      </w:r>
      <w:proofErr w:type="spellStart"/>
      <w:r w:rsidR="00D50A02">
        <w:rPr>
          <w:lang w:val="sr-Cyrl-BA"/>
        </w:rPr>
        <w:t>непоступања</w:t>
      </w:r>
      <w:proofErr w:type="spellEnd"/>
      <w:r w:rsidR="00D50A02">
        <w:rPr>
          <w:lang w:val="sr-Cyrl-BA"/>
        </w:rPr>
        <w:t>);</w:t>
      </w:r>
    </w:p>
    <w:p w14:paraId="3106B539" w14:textId="022AABCD" w:rsidR="002E4D61" w:rsidRPr="0075782C" w:rsidRDefault="002E4D61" w:rsidP="006B6E0C">
      <w:pPr>
        <w:pStyle w:val="ListParagraph"/>
        <w:numPr>
          <w:ilvl w:val="0"/>
          <w:numId w:val="12"/>
        </w:numPr>
        <w:spacing w:before="0" w:after="0" w:line="240" w:lineRule="auto"/>
        <w:ind w:left="992" w:hanging="425"/>
        <w:contextualSpacing w:val="0"/>
        <w:rPr>
          <w:lang w:val="sr-Cyrl-BA"/>
        </w:rPr>
      </w:pPr>
      <w:r w:rsidRPr="0075782C">
        <w:rPr>
          <w:bCs/>
          <w:lang w:val="sr-Cyrl-BA"/>
        </w:rPr>
        <w:t xml:space="preserve">Помоћи и </w:t>
      </w:r>
      <w:proofErr w:type="spellStart"/>
      <w:r w:rsidRPr="0075782C">
        <w:rPr>
          <w:bCs/>
          <w:lang w:val="sr-Cyrl-BA"/>
        </w:rPr>
        <w:t>обезбиједити</w:t>
      </w:r>
      <w:proofErr w:type="spellEnd"/>
      <w:r w:rsidRPr="0075782C">
        <w:rPr>
          <w:bCs/>
          <w:lang w:val="sr-Cyrl-BA"/>
        </w:rPr>
        <w:t xml:space="preserve"> информације другом регулатору како да замрзне средства</w:t>
      </w:r>
      <w:r w:rsidR="00D50A02">
        <w:rPr>
          <w:lang w:val="sr-Cyrl-BA"/>
        </w:rPr>
        <w:t>;</w:t>
      </w:r>
    </w:p>
    <w:p w14:paraId="696308D9" w14:textId="0043F7FA" w:rsidR="002E4D61" w:rsidRPr="0075782C" w:rsidRDefault="002E4D61" w:rsidP="006B6E0C">
      <w:pPr>
        <w:pStyle w:val="ListParagraph"/>
        <w:numPr>
          <w:ilvl w:val="0"/>
          <w:numId w:val="12"/>
        </w:numPr>
        <w:spacing w:before="0" w:after="0" w:line="240" w:lineRule="auto"/>
        <w:ind w:left="992" w:hanging="425"/>
        <w:contextualSpacing w:val="0"/>
        <w:rPr>
          <w:lang w:val="sr-Cyrl-BA"/>
        </w:rPr>
      </w:pPr>
      <w:r w:rsidRPr="0075782C">
        <w:rPr>
          <w:bCs/>
          <w:lang w:val="sr-Cyrl-BA"/>
        </w:rPr>
        <w:t>Добити евиденцију од постојећих интернет оператера (не укључујући садржај комуникација), укључујући уз</w:t>
      </w:r>
      <w:r w:rsidR="00D50A02">
        <w:rPr>
          <w:bCs/>
          <w:lang w:val="sr-Cyrl-BA"/>
        </w:rPr>
        <w:t xml:space="preserve"> помоћ тужиоца, суда или другог,</w:t>
      </w:r>
    </w:p>
    <w:p w14:paraId="17574F11" w14:textId="7BA8E1B8" w:rsidR="002E4D61" w:rsidRPr="0075782C" w:rsidRDefault="002E4D61" w:rsidP="006B6E0C">
      <w:pPr>
        <w:pStyle w:val="ListParagraph"/>
        <w:numPr>
          <w:ilvl w:val="0"/>
          <w:numId w:val="12"/>
        </w:numPr>
        <w:spacing w:before="0" w:after="0" w:line="240" w:lineRule="auto"/>
        <w:ind w:left="992" w:hanging="425"/>
        <w:contextualSpacing w:val="0"/>
        <w:rPr>
          <w:lang w:val="sr-Cyrl-BA"/>
        </w:rPr>
      </w:pPr>
      <w:r w:rsidRPr="0075782C">
        <w:rPr>
          <w:bCs/>
          <w:lang w:val="sr-Cyrl-BA"/>
        </w:rPr>
        <w:t>Добити постојећу телефонску евиденцију (не укључујући садржаја) од оператера телекомуникација, укључујући уз помоћ суда, тужиоца или другог органа</w:t>
      </w:r>
      <w:r w:rsidR="00D50A02">
        <w:rPr>
          <w:lang w:val="sr-Cyrl-BA"/>
        </w:rPr>
        <w:t>;</w:t>
      </w:r>
    </w:p>
    <w:p w14:paraId="0B80F7AD" w14:textId="22343B0A" w:rsidR="002E4D61" w:rsidRPr="0075782C" w:rsidRDefault="00CB25D5" w:rsidP="006B6E0C">
      <w:pPr>
        <w:pStyle w:val="ListParagraph"/>
        <w:numPr>
          <w:ilvl w:val="0"/>
          <w:numId w:val="12"/>
        </w:numPr>
        <w:spacing w:before="0" w:after="0" w:line="240" w:lineRule="auto"/>
        <w:ind w:left="992" w:hanging="425"/>
        <w:contextualSpacing w:val="0"/>
        <w:rPr>
          <w:i/>
          <w:iCs/>
          <w:lang w:val="sr-Cyrl-BA"/>
        </w:rPr>
      </w:pPr>
      <w:r>
        <w:rPr>
          <w:bCs/>
          <w:lang w:val="sr-Cyrl-BA"/>
        </w:rPr>
        <w:t>Д</w:t>
      </w:r>
      <w:r w:rsidR="002E4D61" w:rsidRPr="0075782C">
        <w:rPr>
          <w:bCs/>
          <w:lang w:val="sr-Cyrl-BA"/>
        </w:rPr>
        <w:t>обити телефонску евиденције или другу електронску комуникацију (укључујући садржај комуникација) коју чува или одржава фирма у надлежности регулатора од којег се траже информације</w:t>
      </w:r>
      <w:r w:rsidR="00D50A02">
        <w:rPr>
          <w:lang w:val="sr-Cyrl-BA"/>
        </w:rPr>
        <w:t>.</w:t>
      </w:r>
    </w:p>
    <w:p w14:paraId="6DAA59AC" w14:textId="77777777" w:rsidR="002E4D61" w:rsidRPr="0075782C" w:rsidRDefault="002E4D61" w:rsidP="006B6E0C">
      <w:pPr>
        <w:pStyle w:val="Default"/>
        <w:spacing w:before="120"/>
        <w:ind w:firstLine="567"/>
        <w:jc w:val="both"/>
        <w:rPr>
          <w:lang w:val="sr-Cyrl-BA"/>
        </w:rPr>
      </w:pPr>
      <w:r w:rsidRPr="0075782C">
        <w:rPr>
          <w:lang w:val="sr-Cyrl-BA"/>
        </w:rPr>
        <w:t xml:space="preserve">Након доношења коначних процедура, упитника и појашњења везаних за праћење активности у вези с IOSCO </w:t>
      </w:r>
      <w:proofErr w:type="spellStart"/>
      <w:r w:rsidRPr="0075782C">
        <w:rPr>
          <w:lang w:val="sr-Cyrl-BA"/>
        </w:rPr>
        <w:t>EMMoU</w:t>
      </w:r>
      <w:proofErr w:type="spellEnd"/>
      <w:r w:rsidRPr="0075782C">
        <w:rPr>
          <w:lang w:val="sr-Cyrl-BA"/>
        </w:rPr>
        <w:t xml:space="preserve"> од стране IOSCO, додатних анализа законских и подзаконских прописа, те процјена овлашћења Комисије и могућности сарадње са носиоцима информација које су предмет </w:t>
      </w:r>
      <w:proofErr w:type="spellStart"/>
      <w:r w:rsidRPr="0075782C">
        <w:rPr>
          <w:lang w:val="sr-Cyrl-BA"/>
        </w:rPr>
        <w:t>EMMoU</w:t>
      </w:r>
      <w:proofErr w:type="spellEnd"/>
      <w:r w:rsidRPr="0075782C">
        <w:rPr>
          <w:lang w:val="sr-Cyrl-BA"/>
        </w:rPr>
        <w:t xml:space="preserve">, одлучено је да се предузму неопходне активности на провјери могућности да Комисија испуни све услове - наведене ACFIT надлежности. </w:t>
      </w:r>
    </w:p>
    <w:p w14:paraId="793DBA17" w14:textId="6B8297E2" w:rsidR="00BB463D" w:rsidRDefault="002E4D61" w:rsidP="00AC0264">
      <w:pPr>
        <w:ind w:firstLine="708"/>
        <w:rPr>
          <w:lang w:val="sr-Latn-BA" w:eastAsia="en-GB"/>
        </w:rPr>
      </w:pPr>
      <w:r w:rsidRPr="00AC0264">
        <w:rPr>
          <w:lang w:val="sr-Cyrl-BA" w:eastAsia="en-GB"/>
        </w:rPr>
        <w:t xml:space="preserve">Активности на припреми захтјева за стицање статуса потписнице IOSCO </w:t>
      </w:r>
      <w:proofErr w:type="spellStart"/>
      <w:r w:rsidRPr="00AC0264">
        <w:rPr>
          <w:lang w:val="sr-Cyrl-BA" w:eastAsia="en-GB"/>
        </w:rPr>
        <w:t>EMMoU</w:t>
      </w:r>
      <w:proofErr w:type="spellEnd"/>
      <w:r w:rsidRPr="00AC0264">
        <w:rPr>
          <w:lang w:val="sr-Cyrl-BA" w:eastAsia="en-GB"/>
        </w:rPr>
        <w:t xml:space="preserve">, упитника и пратеће документације окончане су у јуну 2019. године када је исти званично поднесен IOSCO-у. </w:t>
      </w:r>
      <w:r w:rsidR="00EE1C8C" w:rsidRPr="00AC0264">
        <w:rPr>
          <w:lang w:val="sr-Cyrl-BA" w:eastAsia="en-GB"/>
        </w:rPr>
        <w:t xml:space="preserve">Комисија је, у току 2020. године, прошла кроз различите фазе веома </w:t>
      </w:r>
      <w:proofErr w:type="spellStart"/>
      <w:r w:rsidR="00EE1C8C" w:rsidRPr="00AC0264">
        <w:rPr>
          <w:lang w:val="sr-Cyrl-BA" w:eastAsia="en-GB"/>
        </w:rPr>
        <w:t>захтјевне</w:t>
      </w:r>
      <w:proofErr w:type="spellEnd"/>
      <w:r w:rsidR="00EE1C8C" w:rsidRPr="00AC0264">
        <w:rPr>
          <w:lang w:val="sr-Cyrl-BA" w:eastAsia="en-GB"/>
        </w:rPr>
        <w:t xml:space="preserve"> процедуре провјере апликације, достављене документације и регулативе којом се доказују овлашћења, односно надлежности Комисије. </w:t>
      </w:r>
      <w:r w:rsidRPr="00AC0264">
        <w:rPr>
          <w:lang w:val="sr-Cyrl-BA" w:eastAsia="en-GB"/>
        </w:rPr>
        <w:t xml:space="preserve">Комисија </w:t>
      </w:r>
      <w:r w:rsidR="00EE1C8C" w:rsidRPr="00AC0264">
        <w:rPr>
          <w:lang w:val="sr-Cyrl-BA" w:eastAsia="en-GB"/>
        </w:rPr>
        <w:t>је у 2020. години</w:t>
      </w:r>
      <w:r w:rsidRPr="00AC0264">
        <w:rPr>
          <w:lang w:val="sr-Cyrl-BA" w:eastAsia="en-GB"/>
        </w:rPr>
        <w:t xml:space="preserve"> заврши</w:t>
      </w:r>
      <w:r w:rsidR="00EE1C8C" w:rsidRPr="00AC0264">
        <w:rPr>
          <w:lang w:val="sr-Cyrl-BA" w:eastAsia="en-GB"/>
        </w:rPr>
        <w:t>ла</w:t>
      </w:r>
      <w:r w:rsidRPr="00AC0264">
        <w:rPr>
          <w:lang w:val="sr-Cyrl-BA" w:eastAsia="en-GB"/>
        </w:rPr>
        <w:t xml:space="preserve"> ову </w:t>
      </w:r>
      <w:proofErr w:type="spellStart"/>
      <w:r w:rsidRPr="00AC0264">
        <w:rPr>
          <w:lang w:val="sr-Cyrl-BA" w:eastAsia="en-GB"/>
        </w:rPr>
        <w:t>захтјевну</w:t>
      </w:r>
      <w:proofErr w:type="spellEnd"/>
      <w:r w:rsidR="00BB463D">
        <w:rPr>
          <w:lang w:val="sr-Cyrl-BA" w:eastAsia="en-GB"/>
        </w:rPr>
        <w:t xml:space="preserve"> процедуру.</w:t>
      </w:r>
    </w:p>
    <w:p w14:paraId="2ED93348" w14:textId="678FD070" w:rsidR="00AC0264" w:rsidRDefault="00BB463D" w:rsidP="00AC0264">
      <w:pPr>
        <w:ind w:firstLine="708"/>
        <w:rPr>
          <w:lang w:val="sr-Cyrl-BA" w:eastAsia="en-GB"/>
        </w:rPr>
      </w:pPr>
      <w:r>
        <w:rPr>
          <w:lang w:val="sr-Cyrl-BA" w:eastAsia="en-GB"/>
        </w:rPr>
        <w:t xml:space="preserve">Дана </w:t>
      </w:r>
      <w:r w:rsidR="00AC0264">
        <w:rPr>
          <w:lang w:val="sr-Cyrl-BA" w:eastAsia="en-GB"/>
        </w:rPr>
        <w:t xml:space="preserve">12.04.2021. </w:t>
      </w:r>
      <w:r>
        <w:rPr>
          <w:lang w:val="sr-Cyrl-BA" w:eastAsia="en-GB"/>
        </w:rPr>
        <w:t xml:space="preserve">Комисија је на интернет страници </w:t>
      </w:r>
      <w:r>
        <w:rPr>
          <w:lang w:val="en-GB" w:eastAsia="en-GB"/>
        </w:rPr>
        <w:t>IOSCO</w:t>
      </w:r>
      <w:r>
        <w:rPr>
          <w:lang w:val="sr-Cyrl-BA" w:eastAsia="en-GB"/>
        </w:rPr>
        <w:t xml:space="preserve"> </w:t>
      </w:r>
      <w:proofErr w:type="spellStart"/>
      <w:r w:rsidR="00AC0264">
        <w:rPr>
          <w:lang w:val="sr-Cyrl-BA" w:eastAsia="en-GB"/>
        </w:rPr>
        <w:t>дода</w:t>
      </w:r>
      <w:r>
        <w:rPr>
          <w:lang w:val="sr-Cyrl-BA" w:eastAsia="en-GB"/>
        </w:rPr>
        <w:t>т</w:t>
      </w:r>
      <w:r w:rsidR="00AC0264" w:rsidRPr="00AC0264">
        <w:rPr>
          <w:lang w:val="sr-Cyrl-BA" w:eastAsia="en-GB"/>
        </w:rPr>
        <w:t>a</w:t>
      </w:r>
      <w:proofErr w:type="spellEnd"/>
      <w:r w:rsidR="00AC0264">
        <w:rPr>
          <w:lang w:val="sr-Cyrl-BA" w:eastAsia="en-GB"/>
        </w:rPr>
        <w:t xml:space="preserve"> на листу потписница </w:t>
      </w:r>
      <w:r w:rsidR="00AC0264" w:rsidRPr="00AC0264">
        <w:rPr>
          <w:lang w:val="sr-Cyrl-BA" w:eastAsia="en-GB"/>
        </w:rPr>
        <w:t xml:space="preserve">IOSCO </w:t>
      </w:r>
      <w:proofErr w:type="spellStart"/>
      <w:r w:rsidR="00AC0264" w:rsidRPr="00AC0264">
        <w:rPr>
          <w:lang w:val="sr-Cyrl-BA" w:eastAsia="en-GB"/>
        </w:rPr>
        <w:t>EMMoU</w:t>
      </w:r>
      <w:proofErr w:type="spellEnd"/>
      <w:r w:rsidR="00AC0264">
        <w:rPr>
          <w:lang w:val="sr-Cyrl-BA" w:eastAsia="en-GB"/>
        </w:rPr>
        <w:t xml:space="preserve">. </w:t>
      </w:r>
      <w:r w:rsidR="00AC0264">
        <w:rPr>
          <w:lang w:val="sr-Cyrl-BA"/>
        </w:rPr>
        <w:t xml:space="preserve"> Стицањем статуса потписнице </w:t>
      </w:r>
      <w:r w:rsidR="00AC0264">
        <w:rPr>
          <w:lang w:val="en-GB" w:eastAsia="en-GB"/>
        </w:rPr>
        <w:t xml:space="preserve">IOSCO </w:t>
      </w:r>
      <w:proofErr w:type="spellStart"/>
      <w:r w:rsidR="00AC0264">
        <w:rPr>
          <w:lang w:val="en-GB" w:eastAsia="en-GB"/>
        </w:rPr>
        <w:t>EMMoU</w:t>
      </w:r>
      <w:proofErr w:type="spellEnd"/>
      <w:r w:rsidR="00AC0264">
        <w:rPr>
          <w:lang w:val="sr-Cyrl-BA" w:eastAsia="en-GB"/>
        </w:rPr>
        <w:t xml:space="preserve">, Комисија </w:t>
      </w:r>
      <w:r w:rsidR="00AC0264">
        <w:rPr>
          <w:lang w:val="sr-Cyrl-BA" w:eastAsia="en-GB"/>
        </w:rPr>
        <w:lastRenderedPageBreak/>
        <w:t xml:space="preserve">за хартије од вриједности постаје једна од 11 регулатора које су, до сада, испуниле све услове и потписале </w:t>
      </w:r>
      <w:r w:rsidR="00AC0264" w:rsidRPr="00AC0264">
        <w:rPr>
          <w:lang w:val="sr-Cyrl-BA" w:eastAsia="en-GB"/>
        </w:rPr>
        <w:t xml:space="preserve">IOSCO </w:t>
      </w:r>
      <w:proofErr w:type="spellStart"/>
      <w:r w:rsidR="00AC0264" w:rsidRPr="00AC0264">
        <w:rPr>
          <w:lang w:val="sr-Cyrl-BA" w:eastAsia="en-GB"/>
        </w:rPr>
        <w:t>EMMoU</w:t>
      </w:r>
      <w:proofErr w:type="spellEnd"/>
      <w:r w:rsidR="00AC0264" w:rsidRPr="00AC0264">
        <w:rPr>
          <w:lang w:val="sr-Cyrl-BA" w:eastAsia="en-GB"/>
        </w:rPr>
        <w:t xml:space="preserve"> на Листи А.1 (регулатори који имају сва ACFIT овлаш</w:t>
      </w:r>
      <w:r w:rsidR="00257BC9">
        <w:rPr>
          <w:lang w:val="sr-Cyrl-BA" w:eastAsia="en-GB"/>
        </w:rPr>
        <w:t>ћ</w:t>
      </w:r>
      <w:r w:rsidR="00AC0264" w:rsidRPr="00AC0264">
        <w:rPr>
          <w:lang w:val="sr-Cyrl-BA" w:eastAsia="en-GB"/>
        </w:rPr>
        <w:t>ења/надлежности</w:t>
      </w:r>
      <w:r w:rsidR="00AC0264">
        <w:rPr>
          <w:lang w:val="sr-Cyrl-BA" w:eastAsia="en-GB"/>
        </w:rPr>
        <w:t>)</w:t>
      </w:r>
      <w:r w:rsidR="00643CDC">
        <w:rPr>
          <w:rStyle w:val="FootnoteReference"/>
          <w:lang w:val="sr-Cyrl-BA" w:eastAsia="en-GB"/>
        </w:rPr>
        <w:footnoteReference w:id="21"/>
      </w:r>
      <w:r w:rsidR="00AC0264">
        <w:rPr>
          <w:lang w:val="sr-Cyrl-BA" w:eastAsia="en-GB"/>
        </w:rPr>
        <w:t>.</w:t>
      </w:r>
      <w:r w:rsidRPr="00BB463D">
        <w:rPr>
          <w:lang w:val="sr-Cyrl-BA" w:eastAsia="en-GB"/>
        </w:rPr>
        <w:t xml:space="preserve"> </w:t>
      </w:r>
      <w:r w:rsidRPr="00AC0264">
        <w:rPr>
          <w:lang w:val="sr-Cyrl-BA" w:eastAsia="en-GB"/>
        </w:rPr>
        <w:t xml:space="preserve">Тиме </w:t>
      </w:r>
      <w:r>
        <w:rPr>
          <w:lang w:val="sr-Cyrl-BA" w:eastAsia="en-GB"/>
        </w:rPr>
        <w:t>је Комисија</w:t>
      </w:r>
      <w:r w:rsidRPr="00AC0264">
        <w:rPr>
          <w:lang w:val="sr-Cyrl-BA" w:eastAsia="en-GB"/>
        </w:rPr>
        <w:t xml:space="preserve"> добила још једну потврду да, као регулатор тржишта капитала у Републици Српској, поступа у складу са међународним принципима и правилима и највишим св</w:t>
      </w:r>
      <w:r w:rsidR="00257BC9">
        <w:rPr>
          <w:lang w:val="sr-Cyrl-BA" w:eastAsia="en-GB"/>
        </w:rPr>
        <w:t>ј</w:t>
      </w:r>
      <w:r w:rsidRPr="00AC0264">
        <w:rPr>
          <w:lang w:val="sr-Cyrl-BA" w:eastAsia="en-GB"/>
        </w:rPr>
        <w:t>етским стандардима IOSCO.</w:t>
      </w:r>
    </w:p>
    <w:p w14:paraId="7921F7FF" w14:textId="77777777" w:rsidR="002A448C" w:rsidRPr="0075782C" w:rsidRDefault="002A448C" w:rsidP="006B6E0C">
      <w:pPr>
        <w:pStyle w:val="Heading3"/>
        <w:spacing w:line="240" w:lineRule="auto"/>
        <w:ind w:left="567" w:hanging="567"/>
        <w:rPr>
          <w:rFonts w:ascii="Times New Roman" w:hAnsi="Times New Roman"/>
          <w:lang w:val="sr-Cyrl-BA"/>
        </w:rPr>
      </w:pPr>
      <w:bookmarkStart w:id="81" w:name="_Toc167960439"/>
      <w:bookmarkStart w:id="82" w:name="_Toc194970105"/>
      <w:bookmarkStart w:id="83" w:name="_Toc194970155"/>
      <w:bookmarkStart w:id="84" w:name="_Toc321408911"/>
      <w:r w:rsidRPr="0075782C">
        <w:rPr>
          <w:rFonts w:ascii="Times New Roman" w:hAnsi="Times New Roman"/>
          <w:lang w:val="sr-Cyrl-BA"/>
        </w:rPr>
        <w:t>Промоција и едукација</w:t>
      </w:r>
      <w:bookmarkEnd w:id="81"/>
    </w:p>
    <w:p w14:paraId="0D33A97B" w14:textId="69A38B27" w:rsidR="00A11D13" w:rsidRPr="0075782C" w:rsidRDefault="002A448C" w:rsidP="006B6E0C">
      <w:pPr>
        <w:pStyle w:val="Style15"/>
        <w:widowControl/>
        <w:spacing w:before="120" w:line="240" w:lineRule="auto"/>
        <w:ind w:firstLine="567"/>
        <w:rPr>
          <w:rFonts w:ascii="Times New Roman" w:hAnsi="Times New Roman"/>
          <w:color w:val="000000"/>
          <w:szCs w:val="16"/>
          <w:lang w:val="sr-Cyrl-BA" w:eastAsia="sr-Latn-CS"/>
        </w:rPr>
      </w:pPr>
      <w:r w:rsidRPr="0075782C">
        <w:rPr>
          <w:rStyle w:val="FontStyle151"/>
          <w:rFonts w:ascii="Times New Roman" w:hAnsi="Times New Roman" w:cs="Times New Roman"/>
          <w:sz w:val="24"/>
          <w:lang w:val="sr-Cyrl-BA" w:eastAsia="sr-Latn-CS"/>
        </w:rPr>
        <w:t xml:space="preserve">У извјештајном периоду највећи дио активности у области промоције и едукације односи се на тумачења законских и подзаконских прописа, те одговоре на упите како овлашћеним учесницима на тржишту капитала тако и другим домаћим и страним правним и физичким лицима. Упити су се односили на различите законске и подзаконске прописе, активности и надлежности Комисије, различите теме или области, те су покривене бројне теме, директно или индиректно везане за тржиште хартија од вриједности. Захтјеви за тумачење или примјену прописа су се најчешће односили на Закон о инвестиционим фондовима, подзаконске акте из надлежности Комисије, Закон о тржишту хартија од вриједности </w:t>
      </w:r>
      <w:r w:rsidR="00AC1D6C" w:rsidRPr="0075782C">
        <w:rPr>
          <w:rStyle w:val="FontStyle151"/>
          <w:rFonts w:ascii="Times New Roman" w:hAnsi="Times New Roman" w:cs="Times New Roman"/>
          <w:sz w:val="24"/>
          <w:lang w:val="sr-Cyrl-BA" w:eastAsia="sr-Latn-CS"/>
        </w:rPr>
        <w:t>и Закон о привредним друштвима.</w:t>
      </w:r>
    </w:p>
    <w:p w14:paraId="11F9794D" w14:textId="6C147962"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85" w:name="_Toc167960440"/>
      <w:r w:rsidRPr="00EC6422">
        <w:rPr>
          <w:rFonts w:ascii="Times New Roman" w:hAnsi="Times New Roman"/>
          <w:caps w:val="0"/>
          <w:color w:val="002060"/>
          <w:lang w:val="sr-Cyrl-BA"/>
        </w:rPr>
        <w:t>НАДЗОР НАД УЧЕСНИЦИМА НА ТРЖИШТУ ХАРТИЈА ОД ВРИЈЕДНОСТИ</w:t>
      </w:r>
      <w:bookmarkEnd w:id="82"/>
      <w:bookmarkEnd w:id="83"/>
      <w:bookmarkEnd w:id="84"/>
      <w:bookmarkEnd w:id="85"/>
    </w:p>
    <w:bookmarkEnd w:id="62"/>
    <w:bookmarkEnd w:id="63"/>
    <w:p w14:paraId="534BAAF9" w14:textId="295AE412"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Style w:val="FontStyle151"/>
          <w:rFonts w:ascii="Times New Roman" w:hAnsi="Times New Roman" w:cs="Times New Roman"/>
          <w:sz w:val="24"/>
          <w:lang w:eastAsia="sr-Latn-CS"/>
        </w:rPr>
        <w:t>Према</w:t>
      </w:r>
      <w:r w:rsidRPr="00EF2179">
        <w:rPr>
          <w:rFonts w:ascii="Times New Roman" w:hAnsi="Times New Roman"/>
          <w:lang w:val="sr-Cyrl-BA"/>
        </w:rPr>
        <w:t xml:space="preserve"> одредбама Закона о тржишту</w:t>
      </w:r>
      <w:r w:rsidRPr="00EF2179">
        <w:rPr>
          <w:rStyle w:val="FootnoteReference"/>
          <w:rFonts w:ascii="Times New Roman" w:hAnsi="Times New Roman"/>
          <w:lang w:val="sr-Cyrl-BA"/>
        </w:rPr>
        <w:footnoteReference w:id="22"/>
      </w:r>
      <w:r w:rsidRPr="00EF2179">
        <w:rPr>
          <w:rFonts w:ascii="Times New Roman" w:hAnsi="Times New Roman"/>
          <w:lang w:val="sr-Cyrl-BA"/>
        </w:rPr>
        <w:t xml:space="preserve">, Комисија врши надзор над лицима којима даје дозволу за обављање послова и </w:t>
      </w:r>
      <w:proofErr w:type="spellStart"/>
      <w:r w:rsidRPr="00EF2179">
        <w:rPr>
          <w:rFonts w:ascii="Times New Roman" w:hAnsi="Times New Roman"/>
          <w:lang w:val="sr-Cyrl-BA"/>
        </w:rPr>
        <w:t>емитентима</w:t>
      </w:r>
      <w:proofErr w:type="spellEnd"/>
      <w:r w:rsidRPr="00EF2179">
        <w:rPr>
          <w:rFonts w:ascii="Times New Roman" w:hAnsi="Times New Roman"/>
          <w:lang w:val="sr-Cyrl-BA"/>
        </w:rPr>
        <w:t xml:space="preserve"> хартија од вриједности у поступку емисије, те налаже мјере за отклањање утврђених незаконитости и неправилности. Комисија је, такође према одредбама Закона о тржишту</w:t>
      </w:r>
      <w:r w:rsidRPr="00EF2179">
        <w:rPr>
          <w:rStyle w:val="FootnoteReference"/>
          <w:rFonts w:ascii="Times New Roman" w:hAnsi="Times New Roman"/>
          <w:lang w:val="sr-Cyrl-BA"/>
        </w:rPr>
        <w:footnoteReference w:id="23"/>
      </w:r>
      <w:r w:rsidRPr="00EF2179">
        <w:rPr>
          <w:rFonts w:ascii="Times New Roman" w:hAnsi="Times New Roman"/>
          <w:lang w:val="sr-Cyrl-BA"/>
        </w:rPr>
        <w:t xml:space="preserve">, а и према одредбама Закона о </w:t>
      </w:r>
      <w:proofErr w:type="spellStart"/>
      <w:r w:rsidR="00315188" w:rsidRPr="00EF2179">
        <w:rPr>
          <w:rFonts w:ascii="Times New Roman" w:hAnsi="Times New Roman"/>
          <w:lang w:val="sr-Cyrl-BA"/>
        </w:rPr>
        <w:t>спречавању</w:t>
      </w:r>
      <w:proofErr w:type="spellEnd"/>
      <w:r w:rsidRPr="00EF2179">
        <w:rPr>
          <w:rFonts w:ascii="Times New Roman" w:hAnsi="Times New Roman"/>
          <w:lang w:val="sr-Cyrl-BA"/>
        </w:rPr>
        <w:t xml:space="preserve"> прања новца и финансирања терористичких активности</w:t>
      </w:r>
      <w:r w:rsidRPr="00EF2179">
        <w:rPr>
          <w:rStyle w:val="FootnoteReference"/>
          <w:rFonts w:ascii="Times New Roman" w:hAnsi="Times New Roman"/>
          <w:lang w:val="sr-Cyrl-BA"/>
        </w:rPr>
        <w:footnoteReference w:id="24"/>
      </w:r>
      <w:r w:rsidRPr="00EF2179">
        <w:rPr>
          <w:rFonts w:ascii="Times New Roman" w:hAnsi="Times New Roman"/>
          <w:lang w:val="sr-Cyrl-BA"/>
        </w:rPr>
        <w:t xml:space="preserve"> овлашћена да врши надзор и предузима потребне мјере у вези са </w:t>
      </w:r>
      <w:proofErr w:type="spellStart"/>
      <w:r w:rsidRPr="00EF2179">
        <w:rPr>
          <w:rFonts w:ascii="Times New Roman" w:hAnsi="Times New Roman"/>
          <w:lang w:val="sr-Cyrl-BA"/>
        </w:rPr>
        <w:t>спречавањем</w:t>
      </w:r>
      <w:proofErr w:type="spellEnd"/>
      <w:r w:rsidRPr="00EF2179">
        <w:rPr>
          <w:rFonts w:ascii="Times New Roman" w:hAnsi="Times New Roman"/>
          <w:lang w:val="sr-Cyrl-BA"/>
        </w:rPr>
        <w:t xml:space="preserve"> прања новца и финансирања терористичких активности над лицима којима даје дозволу за обављање послова. </w:t>
      </w:r>
    </w:p>
    <w:p w14:paraId="18EAF417" w14:textId="77777777"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Према одредбама Закона о инвестиционим фондовима</w:t>
      </w:r>
      <w:r w:rsidRPr="00EF2179">
        <w:rPr>
          <w:rStyle w:val="FootnoteReference"/>
          <w:rFonts w:ascii="Times New Roman" w:hAnsi="Times New Roman"/>
          <w:lang w:val="sr-Cyrl-BA"/>
        </w:rPr>
        <w:footnoteReference w:id="25"/>
      </w:r>
      <w:r w:rsidRPr="00EF2179">
        <w:rPr>
          <w:rFonts w:ascii="Times New Roman" w:hAnsi="Times New Roman"/>
          <w:lang w:val="sr-Cyrl-BA"/>
        </w:rPr>
        <w:t xml:space="preserve">, Комисија је овлашћена да обавља редовни и ванредни надзор затворених и отворених инвестиционих фондова, друштава за управљање фондовима, заступника у продаји </w:t>
      </w:r>
      <w:proofErr w:type="spellStart"/>
      <w:r w:rsidRPr="00EF2179">
        <w:rPr>
          <w:rFonts w:ascii="Times New Roman" w:hAnsi="Times New Roman"/>
          <w:lang w:val="sr-Cyrl-BA"/>
        </w:rPr>
        <w:t>удјела</w:t>
      </w:r>
      <w:proofErr w:type="spellEnd"/>
      <w:r w:rsidRPr="00EF2179">
        <w:rPr>
          <w:rFonts w:ascii="Times New Roman" w:hAnsi="Times New Roman"/>
          <w:lang w:val="sr-Cyrl-BA"/>
        </w:rPr>
        <w:t xml:space="preserve"> или акција, банке </w:t>
      </w:r>
      <w:proofErr w:type="spellStart"/>
      <w:r w:rsidRPr="00EF2179">
        <w:rPr>
          <w:rFonts w:ascii="Times New Roman" w:hAnsi="Times New Roman"/>
          <w:lang w:val="sr-Cyrl-BA"/>
        </w:rPr>
        <w:t>депозитара</w:t>
      </w:r>
      <w:proofErr w:type="spellEnd"/>
      <w:r w:rsidRPr="00EF2179">
        <w:rPr>
          <w:rFonts w:ascii="Times New Roman" w:hAnsi="Times New Roman"/>
          <w:lang w:val="sr-Cyrl-BA"/>
        </w:rPr>
        <w:t xml:space="preserve"> и сваког другог лица које обавља посао за који је одговорно неко од ових лица. Комисија проводи контролне и надзорне активности над свим учесницима на тржишту хартија од вриједности, са циљем да се осигура ефикасно функционисање тржишта хартија од вриједности. </w:t>
      </w:r>
    </w:p>
    <w:p w14:paraId="08A2E3D6" w14:textId="77777777"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Према Правилнику о надзору над учесницима на тржишту хартија од вриједности (у даљем тексту: Правилник о надзору)</w:t>
      </w:r>
      <w:r w:rsidRPr="00EF2179">
        <w:rPr>
          <w:rStyle w:val="FootnoteReference"/>
          <w:rFonts w:ascii="Times New Roman" w:hAnsi="Times New Roman"/>
          <w:lang w:val="sr-Cyrl-BA"/>
        </w:rPr>
        <w:footnoteReference w:id="26"/>
      </w:r>
      <w:r w:rsidRPr="00EF2179">
        <w:rPr>
          <w:rFonts w:ascii="Times New Roman" w:hAnsi="Times New Roman"/>
          <w:lang w:val="sr-Cyrl-BA"/>
        </w:rPr>
        <w:t>, под надзором који проводи Комисија подразумијева се надзор над  примјеном Закона о тржишту, Закона о инвестиционим фондовима, Закона о преузимању акционарских друштава и</w:t>
      </w:r>
      <w:r w:rsidRPr="00EF2179">
        <w:rPr>
          <w:rFonts w:ascii="Times New Roman" w:eastAsia="Times New Roman" w:hAnsi="Times New Roman"/>
          <w:lang w:val="sr-Cyrl-BA" w:eastAsia="sr-Latn-CS"/>
        </w:rPr>
        <w:t xml:space="preserve"> Закона о </w:t>
      </w:r>
      <w:proofErr w:type="spellStart"/>
      <w:r w:rsidRPr="00EF2179">
        <w:rPr>
          <w:rFonts w:ascii="Times New Roman" w:eastAsia="Times New Roman" w:hAnsi="Times New Roman"/>
          <w:lang w:val="sr-Cyrl-BA" w:eastAsia="sr-Latn-CS"/>
        </w:rPr>
        <w:t>спречавању</w:t>
      </w:r>
      <w:proofErr w:type="spellEnd"/>
      <w:r w:rsidRPr="00EF2179">
        <w:rPr>
          <w:rFonts w:ascii="Times New Roman" w:eastAsia="Times New Roman" w:hAnsi="Times New Roman"/>
          <w:lang w:val="sr-Cyrl-BA" w:eastAsia="sr-Latn-CS"/>
        </w:rPr>
        <w:t xml:space="preserve"> прања новца и финансирања терористичких активности, те </w:t>
      </w:r>
      <w:r w:rsidRPr="00EF2179">
        <w:rPr>
          <w:rFonts w:ascii="Times New Roman" w:hAnsi="Times New Roman"/>
          <w:lang w:val="sr-Cyrl-BA"/>
        </w:rPr>
        <w:t xml:space="preserve">прописа донесених на основу тих закона, од стране учесника на тржишту хартија од вриједности. </w:t>
      </w:r>
    </w:p>
    <w:p w14:paraId="6C0B352C" w14:textId="5026080C" w:rsid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lastRenderedPageBreak/>
        <w:t xml:space="preserve">Под учесницима на тржишту хартија од вриједности у смислу Правилника о надзору </w:t>
      </w:r>
      <w:r w:rsidRPr="00EF2179">
        <w:rPr>
          <w:rStyle w:val="FontStyle151"/>
          <w:rFonts w:ascii="Times New Roman" w:hAnsi="Times New Roman" w:cs="Times New Roman"/>
          <w:sz w:val="24"/>
          <w:lang w:eastAsia="sr-Latn-CS"/>
        </w:rPr>
        <w:t>сматрају</w:t>
      </w:r>
      <w:r w:rsidRPr="00EF2179">
        <w:rPr>
          <w:rFonts w:ascii="Times New Roman" w:hAnsi="Times New Roman"/>
          <w:lang w:val="sr-Cyrl-BA"/>
        </w:rPr>
        <w:t xml:space="preserve"> се: берзански посредници, </w:t>
      </w:r>
      <w:proofErr w:type="spellStart"/>
      <w:r w:rsidRPr="00EF2179">
        <w:rPr>
          <w:rFonts w:ascii="Times New Roman" w:hAnsi="Times New Roman"/>
          <w:lang w:val="sr-Cyrl-BA"/>
        </w:rPr>
        <w:t>кастоди</w:t>
      </w:r>
      <w:proofErr w:type="spellEnd"/>
      <w:r w:rsidRPr="00EF2179">
        <w:rPr>
          <w:rFonts w:ascii="Times New Roman" w:hAnsi="Times New Roman"/>
          <w:lang w:val="sr-Cyrl-BA"/>
        </w:rPr>
        <w:t xml:space="preserve"> банке, друштва за управљање инвестиционим фондовима, инвестициони фондови и банке </w:t>
      </w:r>
      <w:proofErr w:type="spellStart"/>
      <w:r w:rsidRPr="00EF2179">
        <w:rPr>
          <w:rFonts w:ascii="Times New Roman" w:hAnsi="Times New Roman"/>
          <w:lang w:val="sr-Cyrl-BA"/>
        </w:rPr>
        <w:t>депозитари</w:t>
      </w:r>
      <w:proofErr w:type="spellEnd"/>
      <w:r w:rsidRPr="00EF2179">
        <w:rPr>
          <w:rFonts w:ascii="Times New Roman" w:hAnsi="Times New Roman"/>
          <w:lang w:val="sr-Cyrl-BA"/>
        </w:rPr>
        <w:t xml:space="preserve">, берза и друга уређена јавна тржишта, Централни регистар хартија од вриједности, </w:t>
      </w:r>
      <w:proofErr w:type="spellStart"/>
      <w:r w:rsidRPr="00EF2179">
        <w:rPr>
          <w:rFonts w:ascii="Times New Roman" w:hAnsi="Times New Roman"/>
          <w:lang w:val="sr-Cyrl-BA"/>
        </w:rPr>
        <w:t>емитенти</w:t>
      </w:r>
      <w:proofErr w:type="spellEnd"/>
      <w:r w:rsidRPr="00EF2179">
        <w:rPr>
          <w:rFonts w:ascii="Times New Roman" w:hAnsi="Times New Roman"/>
          <w:lang w:val="sr-Cyrl-BA"/>
        </w:rPr>
        <w:t xml:space="preserve"> хартија од вриједности у вези </w:t>
      </w:r>
      <w:proofErr w:type="spellStart"/>
      <w:r w:rsidRPr="00EF2179">
        <w:rPr>
          <w:rFonts w:ascii="Times New Roman" w:hAnsi="Times New Roman"/>
          <w:lang w:val="sr-Cyrl-BA"/>
        </w:rPr>
        <w:t>сa</w:t>
      </w:r>
      <w:proofErr w:type="spellEnd"/>
      <w:r w:rsidRPr="00EF2179">
        <w:rPr>
          <w:rFonts w:ascii="Times New Roman" w:hAnsi="Times New Roman"/>
          <w:lang w:val="sr-Cyrl-BA"/>
        </w:rPr>
        <w:t xml:space="preserve"> емисијама хартија од вриједности, уписима у Регистар </w:t>
      </w:r>
      <w:proofErr w:type="spellStart"/>
      <w:r w:rsidRPr="00EF2179">
        <w:rPr>
          <w:rFonts w:ascii="Times New Roman" w:hAnsi="Times New Roman"/>
          <w:lang w:val="sr-Cyrl-BA"/>
        </w:rPr>
        <w:t>емитената</w:t>
      </w:r>
      <w:proofErr w:type="spellEnd"/>
      <w:r w:rsidRPr="00EF2179">
        <w:rPr>
          <w:rFonts w:ascii="Times New Roman" w:hAnsi="Times New Roman"/>
          <w:lang w:val="sr-Cyrl-BA"/>
        </w:rPr>
        <w:t xml:space="preserve"> хартија од вриједности и објављивањем финансијских и других прописаних извјештаја, лица која имају дозволу за обављање послова брокера, инвестиционих савјетника и инвестиционих менаџера, </w:t>
      </w:r>
      <w:proofErr w:type="spellStart"/>
      <w:r w:rsidRPr="00EF2179">
        <w:rPr>
          <w:rFonts w:ascii="Times New Roman" w:hAnsi="Times New Roman"/>
          <w:lang w:val="sr-Cyrl-BA"/>
        </w:rPr>
        <w:t>стицаоци</w:t>
      </w:r>
      <w:proofErr w:type="spellEnd"/>
      <w:r w:rsidRPr="00EF2179">
        <w:rPr>
          <w:rFonts w:ascii="Times New Roman" w:hAnsi="Times New Roman"/>
          <w:lang w:val="sr-Cyrl-BA"/>
        </w:rPr>
        <w:t xml:space="preserve"> и учесници у поступку преузимања и други учесници у смислу одредаба закона којим се уређује преузимање акционарских друштава, продавци, купци, други </w:t>
      </w:r>
      <w:proofErr w:type="spellStart"/>
      <w:r w:rsidRPr="00EF2179">
        <w:rPr>
          <w:rFonts w:ascii="Times New Roman" w:hAnsi="Times New Roman"/>
          <w:lang w:val="sr-Cyrl-BA"/>
        </w:rPr>
        <w:t>стицаоци</w:t>
      </w:r>
      <w:proofErr w:type="spellEnd"/>
      <w:r w:rsidRPr="00EF2179">
        <w:rPr>
          <w:rFonts w:ascii="Times New Roman" w:hAnsi="Times New Roman"/>
          <w:lang w:val="sr-Cyrl-BA"/>
        </w:rPr>
        <w:t xml:space="preserve"> хартија од </w:t>
      </w:r>
      <w:r w:rsidRPr="00EF2179">
        <w:rPr>
          <w:rStyle w:val="FontStyle151"/>
          <w:rFonts w:ascii="Times New Roman" w:hAnsi="Times New Roman" w:cs="Times New Roman"/>
          <w:sz w:val="24"/>
          <w:lang w:eastAsia="sr-Latn-CS"/>
        </w:rPr>
        <w:t>вриједности</w:t>
      </w:r>
      <w:r w:rsidRPr="00EF2179">
        <w:rPr>
          <w:rFonts w:ascii="Times New Roman" w:hAnsi="Times New Roman"/>
          <w:lang w:val="sr-Cyrl-BA"/>
        </w:rPr>
        <w:t xml:space="preserve"> и друга лица која учествују на тржишту хартија од вриједности</w:t>
      </w:r>
      <w:r w:rsidRPr="00EF2179">
        <w:rPr>
          <w:rStyle w:val="FootnoteReference"/>
          <w:rFonts w:ascii="Times New Roman" w:hAnsi="Times New Roman"/>
          <w:lang w:val="sr-Cyrl-BA"/>
        </w:rPr>
        <w:footnoteReference w:id="27"/>
      </w:r>
      <w:r w:rsidRPr="00EF2179">
        <w:rPr>
          <w:rFonts w:ascii="Times New Roman" w:hAnsi="Times New Roman"/>
          <w:lang w:val="sr-Cyrl-BA"/>
        </w:rPr>
        <w:t xml:space="preserve">. Под </w:t>
      </w:r>
      <w:r w:rsidRPr="00EF2179">
        <w:rPr>
          <w:rStyle w:val="FontStyle151"/>
          <w:rFonts w:ascii="Times New Roman" w:hAnsi="Times New Roman" w:cs="Times New Roman"/>
          <w:sz w:val="24"/>
          <w:lang w:eastAsia="sr-Latn-CS"/>
        </w:rPr>
        <w:t>учесницима</w:t>
      </w:r>
      <w:r w:rsidRPr="00EF2179">
        <w:rPr>
          <w:rFonts w:ascii="Times New Roman" w:hAnsi="Times New Roman"/>
          <w:lang w:val="sr-Cyrl-BA"/>
        </w:rPr>
        <w:t xml:space="preserve"> на тржишту хартија од вриједности сматрају се и лица која имају квалификовано учешће, изузев Републике Српске и друга лица која се сматрају повезаним с надзираним лицем у смислу одредби закона којима се уређује </w:t>
      </w:r>
      <w:r w:rsidRPr="00EF2179">
        <w:rPr>
          <w:rStyle w:val="FontStyle151"/>
          <w:rFonts w:ascii="Times New Roman" w:hAnsi="Times New Roman" w:cs="Times New Roman"/>
          <w:sz w:val="24"/>
          <w:lang w:eastAsia="sr-Latn-CS"/>
        </w:rPr>
        <w:t>пословање</w:t>
      </w:r>
      <w:r w:rsidRPr="00EF2179">
        <w:rPr>
          <w:rFonts w:ascii="Times New Roman" w:hAnsi="Times New Roman"/>
          <w:lang w:val="sr-Cyrl-BA"/>
        </w:rPr>
        <w:t xml:space="preserve"> привредних друштава, тржиште хартија од вриједности, пословање инвестиционих фондова и преузимање акционарских друштава</w:t>
      </w:r>
      <w:r w:rsidRPr="00EF2179">
        <w:rPr>
          <w:rStyle w:val="FootnoteReference"/>
          <w:rFonts w:ascii="Times New Roman" w:hAnsi="Times New Roman"/>
          <w:lang w:val="sr-Cyrl-BA"/>
        </w:rPr>
        <w:footnoteReference w:id="28"/>
      </w:r>
      <w:r w:rsidRPr="00EF2179">
        <w:rPr>
          <w:rFonts w:ascii="Times New Roman" w:hAnsi="Times New Roman"/>
          <w:lang w:val="sr-Cyrl-BA"/>
        </w:rPr>
        <w:t xml:space="preserve">. </w:t>
      </w:r>
    </w:p>
    <w:p w14:paraId="1E4BC496" w14:textId="7F628018" w:rsidR="00643CDC" w:rsidRDefault="00643CDC" w:rsidP="00643CDC">
      <w:pPr>
        <w:pStyle w:val="Style15"/>
        <w:widowControl/>
        <w:spacing w:before="120" w:line="240" w:lineRule="auto"/>
        <w:ind w:firstLine="567"/>
        <w:rPr>
          <w:rFonts w:ascii="Times New Roman" w:hAnsi="Times New Roman"/>
          <w:lang w:val="sr-Cyrl-BA"/>
        </w:rPr>
      </w:pPr>
      <w:r>
        <w:rPr>
          <w:rFonts w:ascii="Times New Roman" w:hAnsi="Times New Roman"/>
          <w:lang w:val="sr-Cyrl-BA"/>
        </w:rPr>
        <w:t>Поред наведених учесника, Комисија је овлашћена да врши:</w:t>
      </w:r>
    </w:p>
    <w:p w14:paraId="042DDD61" w14:textId="0D471724" w:rsidR="00643CDC" w:rsidRDefault="00643CDC" w:rsidP="00643CDC">
      <w:pPr>
        <w:pStyle w:val="Style15"/>
        <w:widowControl/>
        <w:numPr>
          <w:ilvl w:val="0"/>
          <w:numId w:val="49"/>
        </w:numPr>
        <w:spacing w:line="240" w:lineRule="auto"/>
        <w:ind w:left="851" w:hanging="284"/>
        <w:rPr>
          <w:rFonts w:ascii="Times New Roman" w:hAnsi="Times New Roman"/>
          <w:lang w:val="sr-Cyrl-BA"/>
        </w:rPr>
      </w:pPr>
      <w:r>
        <w:rPr>
          <w:rFonts w:ascii="Times New Roman" w:hAnsi="Times New Roman"/>
          <w:lang w:val="sr-Cyrl-BA"/>
        </w:rPr>
        <w:t xml:space="preserve">надзор над радом </w:t>
      </w:r>
      <w:r w:rsidRPr="00643CDC">
        <w:rPr>
          <w:rFonts w:ascii="Times New Roman" w:hAnsi="Times New Roman"/>
          <w:lang w:val="sr-Cyrl-BA"/>
        </w:rPr>
        <w:t xml:space="preserve">друштва за </w:t>
      </w:r>
      <w:proofErr w:type="spellStart"/>
      <w:r w:rsidRPr="00643CDC">
        <w:rPr>
          <w:rFonts w:ascii="Times New Roman" w:hAnsi="Times New Roman"/>
          <w:lang w:val="sr-Cyrl-BA"/>
        </w:rPr>
        <w:t>факторинг</w:t>
      </w:r>
      <w:proofErr w:type="spellEnd"/>
      <w:r>
        <w:rPr>
          <w:rFonts w:ascii="Times New Roman" w:hAnsi="Times New Roman"/>
          <w:lang w:val="sr-Cyrl-BA"/>
        </w:rPr>
        <w:t xml:space="preserve">, те </w:t>
      </w:r>
    </w:p>
    <w:p w14:paraId="6D7FCFFC" w14:textId="2286D342" w:rsidR="00643CDC" w:rsidRPr="00EF2179" w:rsidRDefault="00643CDC" w:rsidP="00643CDC">
      <w:pPr>
        <w:pStyle w:val="Style15"/>
        <w:widowControl/>
        <w:numPr>
          <w:ilvl w:val="0"/>
          <w:numId w:val="49"/>
        </w:numPr>
        <w:spacing w:line="240" w:lineRule="auto"/>
        <w:ind w:left="851" w:hanging="284"/>
        <w:rPr>
          <w:rFonts w:ascii="Times New Roman" w:hAnsi="Times New Roman"/>
          <w:lang w:val="sr-Cyrl-BA"/>
        </w:rPr>
      </w:pPr>
      <w:r w:rsidRPr="00643CDC">
        <w:rPr>
          <w:rFonts w:ascii="Times New Roman" w:hAnsi="Times New Roman"/>
          <w:lang w:val="sr-Cyrl-BA"/>
        </w:rPr>
        <w:t xml:space="preserve">надзор </w:t>
      </w:r>
      <w:r>
        <w:rPr>
          <w:rFonts w:ascii="Times New Roman" w:hAnsi="Times New Roman"/>
          <w:lang w:val="sr-Cyrl-BA"/>
        </w:rPr>
        <w:t xml:space="preserve">над </w:t>
      </w:r>
      <w:r w:rsidRPr="00643CDC">
        <w:rPr>
          <w:rFonts w:ascii="Times New Roman" w:hAnsi="Times New Roman"/>
          <w:lang w:val="sr-Cyrl-BA"/>
        </w:rPr>
        <w:t xml:space="preserve">усклађености пословања са законом и другим прописима којима се уређује </w:t>
      </w:r>
      <w:proofErr w:type="spellStart"/>
      <w:r w:rsidRPr="00643CDC">
        <w:rPr>
          <w:rFonts w:ascii="Times New Roman" w:hAnsi="Times New Roman"/>
          <w:lang w:val="sr-Cyrl-BA"/>
        </w:rPr>
        <w:t>спречавање</w:t>
      </w:r>
      <w:proofErr w:type="spellEnd"/>
      <w:r w:rsidRPr="00643CDC">
        <w:rPr>
          <w:rFonts w:ascii="Times New Roman" w:hAnsi="Times New Roman"/>
          <w:lang w:val="sr-Cyrl-BA"/>
        </w:rPr>
        <w:t xml:space="preserve"> прања новца и финансирања терористичких активности, да предузима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Српској</w:t>
      </w:r>
      <w:r>
        <w:rPr>
          <w:rFonts w:ascii="Times New Roman" w:hAnsi="Times New Roman"/>
          <w:lang w:val="sr-Cyrl-BA"/>
        </w:rPr>
        <w:t>.</w:t>
      </w:r>
    </w:p>
    <w:p w14:paraId="0503CE2D" w14:textId="77777777"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Надзор који проводи Комисија може да буде континуиран, редован и ванредан</w:t>
      </w:r>
      <w:r w:rsidRPr="00EF2179">
        <w:rPr>
          <w:rStyle w:val="FootnoteReference"/>
          <w:rFonts w:ascii="Times New Roman" w:hAnsi="Times New Roman"/>
          <w:lang w:val="sr-Cyrl-BA"/>
        </w:rPr>
        <w:footnoteReference w:id="29"/>
      </w:r>
      <w:r w:rsidRPr="00EF2179">
        <w:rPr>
          <w:rFonts w:ascii="Times New Roman" w:hAnsi="Times New Roman"/>
          <w:lang w:val="sr-Cyrl-BA"/>
        </w:rPr>
        <w:t>. У континуираном надзору стално се прати понашање учесника на тржишту хартија од вриједности и проучава стање и кретање на тржишту хартија од вриједности</w:t>
      </w:r>
      <w:r w:rsidRPr="00EF2179">
        <w:rPr>
          <w:rStyle w:val="FootnoteReference"/>
          <w:rFonts w:ascii="Times New Roman" w:hAnsi="Times New Roman"/>
          <w:lang w:val="sr-Cyrl-BA"/>
        </w:rPr>
        <w:footnoteReference w:id="30"/>
      </w:r>
      <w:r w:rsidRPr="00EF2179">
        <w:rPr>
          <w:rFonts w:ascii="Times New Roman" w:hAnsi="Times New Roman"/>
          <w:lang w:val="sr-Cyrl-BA"/>
        </w:rPr>
        <w:t xml:space="preserve">, а проводи се </w:t>
      </w:r>
      <w:r w:rsidRPr="00EF2179">
        <w:rPr>
          <w:rFonts w:ascii="Times New Roman" w:eastAsia="Times New Roman" w:hAnsi="Times New Roman"/>
          <w:lang w:val="sr-Cyrl-BA" w:eastAsia="sr-Latn-CS"/>
        </w:rPr>
        <w:t xml:space="preserve"> прикупљањем, </w:t>
      </w:r>
      <w:proofErr w:type="spellStart"/>
      <w:r w:rsidRPr="00EF2179">
        <w:rPr>
          <w:rFonts w:ascii="Times New Roman" w:eastAsia="Times New Roman" w:hAnsi="Times New Roman"/>
          <w:lang w:val="sr-Cyrl-BA" w:eastAsia="sr-Latn-CS"/>
        </w:rPr>
        <w:t>прегледом</w:t>
      </w:r>
      <w:proofErr w:type="spellEnd"/>
      <w:r w:rsidRPr="00EF2179">
        <w:rPr>
          <w:rFonts w:ascii="Times New Roman" w:eastAsia="Times New Roman" w:hAnsi="Times New Roman"/>
          <w:lang w:val="sr-Cyrl-BA" w:eastAsia="sr-Latn-CS"/>
        </w:rPr>
        <w:t xml:space="preserve">, анализом и провјером извјештаја, обавјештења и документације које су надзирана лица дужна да достављају Комисији у прописаним роковима путем електронског прикупљања информација (ЕПИ) или на други начин, праћењем, прикупљањем и провјером документације добијене </w:t>
      </w:r>
      <w:r w:rsidRPr="00EF2179">
        <w:rPr>
          <w:rFonts w:ascii="Times New Roman" w:hAnsi="Times New Roman"/>
          <w:lang w:val="sr-Cyrl-BA"/>
        </w:rPr>
        <w:t xml:space="preserve">од учесника на тржишту хартија од вриједности </w:t>
      </w:r>
      <w:r w:rsidRPr="00EF2179">
        <w:rPr>
          <w:rFonts w:ascii="Times New Roman" w:eastAsia="Times New Roman" w:hAnsi="Times New Roman"/>
          <w:lang w:val="sr-Cyrl-BA" w:eastAsia="sr-Latn-CS"/>
        </w:rPr>
        <w:t xml:space="preserve">на посебан захтјев Комисије, свакодневним праћењем трговања хартијама од вриједности на берзи у реалном </w:t>
      </w:r>
      <w:proofErr w:type="spellStart"/>
      <w:r w:rsidRPr="00EF2179">
        <w:rPr>
          <w:rFonts w:ascii="Times New Roman" w:eastAsia="Times New Roman" w:hAnsi="Times New Roman"/>
          <w:lang w:val="sr-Cyrl-BA" w:eastAsia="sr-Latn-CS"/>
        </w:rPr>
        <w:t>времену</w:t>
      </w:r>
      <w:proofErr w:type="spellEnd"/>
      <w:r w:rsidRPr="00EF2179">
        <w:rPr>
          <w:rFonts w:ascii="Times New Roman" w:eastAsia="Times New Roman" w:hAnsi="Times New Roman"/>
          <w:lang w:val="sr-Cyrl-BA" w:eastAsia="sr-Latn-CS"/>
        </w:rPr>
        <w:t xml:space="preserve"> путем надзорне станице и анализом активираних сигнала, као и праћењем, прикупљањем и провјером података и сазнања из других извора</w:t>
      </w:r>
      <w:r w:rsidRPr="00EF2179">
        <w:rPr>
          <w:rStyle w:val="FootnoteReference"/>
          <w:rFonts w:ascii="Times New Roman" w:hAnsi="Times New Roman"/>
          <w:lang w:val="sr-Cyrl-BA"/>
        </w:rPr>
        <w:footnoteReference w:id="31"/>
      </w:r>
      <w:r w:rsidRPr="00EF2179">
        <w:rPr>
          <w:rFonts w:ascii="Times New Roman" w:hAnsi="Times New Roman"/>
          <w:lang w:val="sr-Cyrl-BA"/>
        </w:rPr>
        <w:t>. Редован надзор врши се над овлашћеним учесницима на тржишту хартија од вриједности у складу са посебним планом редовног надзора, за сваку годину, који усваја Комисија</w:t>
      </w:r>
      <w:r w:rsidRPr="00EF2179">
        <w:rPr>
          <w:rStyle w:val="FootnoteReference"/>
          <w:rFonts w:ascii="Times New Roman" w:hAnsi="Times New Roman"/>
          <w:lang w:val="sr-Cyrl-BA"/>
        </w:rPr>
        <w:footnoteReference w:id="32"/>
      </w:r>
      <w:r w:rsidRPr="00EF2179">
        <w:rPr>
          <w:rFonts w:ascii="Times New Roman" w:hAnsi="Times New Roman"/>
          <w:lang w:val="sr-Cyrl-BA"/>
        </w:rPr>
        <w:t>, а ванредан надзор врши се на основу индиција о могућем кршењу закона и других прописа</w:t>
      </w:r>
      <w:r w:rsidRPr="00EF2179">
        <w:rPr>
          <w:rStyle w:val="FootnoteReference"/>
          <w:rFonts w:ascii="Times New Roman" w:hAnsi="Times New Roman"/>
          <w:lang w:val="sr-Cyrl-BA"/>
        </w:rPr>
        <w:footnoteReference w:id="33"/>
      </w:r>
      <w:r w:rsidRPr="00EF2179">
        <w:rPr>
          <w:rFonts w:ascii="Times New Roman" w:hAnsi="Times New Roman"/>
          <w:lang w:val="sr-Cyrl-BA"/>
        </w:rPr>
        <w:t>, а по сопственој иницијативи Комисије, на захтјев надлежног државног органа или страног регулаторног органа или по пријави других лица (власника хартија од вриједности, потенцијалних инвеститора у хартије од вриједности, учесника на тржишту хартија од вриједности и сл.), укључујући и анонимне пријаве</w:t>
      </w:r>
      <w:r w:rsidRPr="00EF2179">
        <w:rPr>
          <w:rStyle w:val="FootnoteReference"/>
          <w:rFonts w:ascii="Times New Roman" w:hAnsi="Times New Roman"/>
          <w:lang w:val="sr-Cyrl-BA"/>
        </w:rPr>
        <w:footnoteReference w:id="34"/>
      </w:r>
      <w:r w:rsidRPr="00EF2179">
        <w:rPr>
          <w:rFonts w:ascii="Times New Roman" w:hAnsi="Times New Roman"/>
          <w:lang w:val="sr-Cyrl-BA"/>
        </w:rPr>
        <w:t>.</w:t>
      </w:r>
    </w:p>
    <w:p w14:paraId="7E094B1E" w14:textId="77777777" w:rsidR="00EF2179" w:rsidRPr="00EF2179" w:rsidRDefault="00EF2179" w:rsidP="00EF2179">
      <w:pPr>
        <w:pStyle w:val="Style15"/>
        <w:widowControl/>
        <w:spacing w:before="120" w:line="240" w:lineRule="auto"/>
        <w:ind w:firstLine="567"/>
        <w:rPr>
          <w:rFonts w:ascii="Times New Roman" w:eastAsia="Times New Roman" w:hAnsi="Times New Roman"/>
          <w:lang w:val="sr-Cyrl-BA" w:eastAsia="sr-Latn-CS"/>
        </w:rPr>
      </w:pPr>
      <w:r w:rsidRPr="00EF2179">
        <w:rPr>
          <w:rFonts w:ascii="Times New Roman" w:hAnsi="Times New Roman"/>
          <w:lang w:val="sr-Cyrl-BA"/>
        </w:rPr>
        <w:lastRenderedPageBreak/>
        <w:t xml:space="preserve">С обзиром на начин провођења, надзор може да буде </w:t>
      </w:r>
      <w:proofErr w:type="spellStart"/>
      <w:r w:rsidRPr="00EF2179">
        <w:rPr>
          <w:rFonts w:ascii="Times New Roman" w:hAnsi="Times New Roman"/>
          <w:lang w:val="sr-Cyrl-BA"/>
        </w:rPr>
        <w:t>посредан</w:t>
      </w:r>
      <w:proofErr w:type="spellEnd"/>
      <w:r w:rsidRPr="00EF2179">
        <w:rPr>
          <w:rFonts w:ascii="Times New Roman" w:hAnsi="Times New Roman"/>
          <w:lang w:val="sr-Cyrl-BA"/>
        </w:rPr>
        <w:t xml:space="preserve"> и непосредан; </w:t>
      </w:r>
      <w:proofErr w:type="spellStart"/>
      <w:r w:rsidRPr="00EF2179">
        <w:rPr>
          <w:rFonts w:ascii="Times New Roman" w:hAnsi="Times New Roman"/>
          <w:lang w:val="sr-Cyrl-BA"/>
        </w:rPr>
        <w:t>посредан</w:t>
      </w:r>
      <w:proofErr w:type="spellEnd"/>
      <w:r w:rsidRPr="00EF2179">
        <w:rPr>
          <w:rFonts w:ascii="Times New Roman" w:hAnsi="Times New Roman"/>
          <w:lang w:val="sr-Cyrl-BA"/>
        </w:rPr>
        <w:t xml:space="preserve"> надзор проводи се у сједишту Комисије прикупљањем, </w:t>
      </w:r>
      <w:proofErr w:type="spellStart"/>
      <w:r w:rsidRPr="00EF2179">
        <w:rPr>
          <w:rFonts w:ascii="Times New Roman" w:hAnsi="Times New Roman"/>
          <w:lang w:val="sr-Cyrl-BA"/>
        </w:rPr>
        <w:t>прегледом</w:t>
      </w:r>
      <w:proofErr w:type="spellEnd"/>
      <w:r w:rsidRPr="00EF2179">
        <w:rPr>
          <w:rFonts w:ascii="Times New Roman" w:hAnsi="Times New Roman"/>
          <w:lang w:val="sr-Cyrl-BA"/>
        </w:rPr>
        <w:t>, анализом и провјером извјештаја, обавјештења, документације и података;</w:t>
      </w:r>
      <w:r w:rsidRPr="00EF2179">
        <w:rPr>
          <w:rFonts w:ascii="Times New Roman" w:eastAsia="Times New Roman" w:hAnsi="Times New Roman"/>
          <w:lang w:val="sr-Cyrl-BA" w:eastAsia="sr-Latn-CS"/>
        </w:rPr>
        <w:t xml:space="preserve"> непосредан надзор проводи се у просторијама надзираног лица или правног лица с којим је надзирано лице директно </w:t>
      </w:r>
      <w:r w:rsidRPr="00EF2179">
        <w:rPr>
          <w:rStyle w:val="FontStyle151"/>
          <w:rFonts w:ascii="Times New Roman" w:hAnsi="Times New Roman" w:cs="Times New Roman"/>
          <w:sz w:val="24"/>
        </w:rPr>
        <w:t>или</w:t>
      </w:r>
      <w:r w:rsidRPr="00EF2179">
        <w:rPr>
          <w:rFonts w:ascii="Times New Roman" w:eastAsia="Times New Roman" w:hAnsi="Times New Roman"/>
          <w:lang w:val="sr-Cyrl-BA" w:eastAsia="sr-Latn-CS"/>
        </w:rPr>
        <w:t xml:space="preserve"> индиректно, повезано пословно, управљачки или капиталом,</w:t>
      </w:r>
      <w:r w:rsidRPr="00EF2179">
        <w:rPr>
          <w:rFonts w:ascii="Times New Roman" w:eastAsia="Times New Roman" w:hAnsi="Times New Roman"/>
          <w:color w:val="FF0000"/>
          <w:lang w:val="sr-Cyrl-BA" w:eastAsia="sr-Latn-CS"/>
        </w:rPr>
        <w:t xml:space="preserve"> </w:t>
      </w:r>
      <w:r w:rsidRPr="00EF2179">
        <w:rPr>
          <w:rFonts w:ascii="Times New Roman" w:eastAsia="Times New Roman" w:hAnsi="Times New Roman"/>
          <w:lang w:val="sr-Cyrl-BA" w:eastAsia="sr-Latn-CS"/>
        </w:rPr>
        <w:t>узимањем изјава и изјашњења и увидом у пословну документацију и исправе, пословне књиге, регистре и евиденције без обзира на то да ли се воде у материјалном или електронском облику, те електронска и друга средства комуникације инсталирана код надзираног лица, као и узимањем изјава и изјашњења у сједишту Комисије</w:t>
      </w:r>
      <w:r w:rsidRPr="00EF2179">
        <w:rPr>
          <w:rStyle w:val="FootnoteReference"/>
          <w:rFonts w:ascii="Times New Roman" w:hAnsi="Times New Roman"/>
          <w:lang w:val="sr-Cyrl-BA"/>
        </w:rPr>
        <w:footnoteReference w:id="35"/>
      </w:r>
      <w:r w:rsidRPr="00EF2179">
        <w:rPr>
          <w:rFonts w:ascii="Times New Roman" w:eastAsia="Times New Roman" w:hAnsi="Times New Roman"/>
          <w:lang w:val="sr-Cyrl-BA" w:eastAsia="sr-Latn-CS"/>
        </w:rPr>
        <w:t>.</w:t>
      </w:r>
    </w:p>
    <w:p w14:paraId="605CBEE8" w14:textId="6ACC86AF" w:rsidR="00643CDC" w:rsidRDefault="00643CDC" w:rsidP="00EF2179">
      <w:pPr>
        <w:pStyle w:val="Style15"/>
        <w:widowControl/>
        <w:spacing w:before="120" w:line="240" w:lineRule="auto"/>
        <w:ind w:firstLine="567"/>
        <w:rPr>
          <w:rFonts w:ascii="Times New Roman" w:hAnsi="Times New Roman"/>
          <w:lang w:val="sr-Cyrl-BA"/>
        </w:rPr>
      </w:pPr>
      <w:r w:rsidRPr="00643CDC">
        <w:rPr>
          <w:rFonts w:ascii="Times New Roman" w:hAnsi="Times New Roman"/>
          <w:lang w:val="sr-Cyrl-BA"/>
        </w:rPr>
        <w:t>У обављању надзорних овлашћења, Комисија је у току 2023. године усвојила четрнаест извјештаја континуираних надзора у складу са чланом 11. став 2</w:t>
      </w:r>
      <w:r>
        <w:rPr>
          <w:rFonts w:ascii="Times New Roman" w:hAnsi="Times New Roman"/>
          <w:lang w:val="sr-Cyrl-BA"/>
        </w:rPr>
        <w:t>.</w:t>
      </w:r>
      <w:r w:rsidRPr="00643CDC">
        <w:rPr>
          <w:rFonts w:ascii="Times New Roman" w:hAnsi="Times New Roman"/>
          <w:lang w:val="sr-Cyrl-BA"/>
        </w:rPr>
        <w:t xml:space="preserve"> Правилника о надзору, и то један извјештај континуираног надзора над трговањем акцијама једног </w:t>
      </w:r>
      <w:proofErr w:type="spellStart"/>
      <w:r w:rsidRPr="00643CDC">
        <w:rPr>
          <w:rFonts w:ascii="Times New Roman" w:hAnsi="Times New Roman"/>
          <w:lang w:val="sr-Cyrl-BA"/>
        </w:rPr>
        <w:t>емитента</w:t>
      </w:r>
      <w:proofErr w:type="spellEnd"/>
      <w:r w:rsidRPr="00643CDC">
        <w:rPr>
          <w:rFonts w:ascii="Times New Roman" w:hAnsi="Times New Roman"/>
          <w:lang w:val="sr-Cyrl-BA"/>
        </w:rPr>
        <w:t>, дванаест извјештаја континуираних надзора са предметом анализа мјесечног трговања и стања на Бањалучкој берзи, те један извјештај  континуираног надзора пословања свих овлашћених учесника на тржишту хартија од вриједности.</w:t>
      </w:r>
    </w:p>
    <w:p w14:paraId="0B731312" w14:textId="73E72795" w:rsidR="003E0284" w:rsidRPr="003E0284" w:rsidRDefault="003E0284" w:rsidP="003E0284">
      <w:pPr>
        <w:pStyle w:val="Style15"/>
        <w:widowControl/>
        <w:spacing w:before="120" w:line="240" w:lineRule="auto"/>
        <w:ind w:firstLine="567"/>
        <w:rPr>
          <w:rFonts w:ascii="Times New Roman" w:hAnsi="Times New Roman"/>
          <w:lang w:val="sr-Cyrl-BA"/>
        </w:rPr>
      </w:pPr>
      <w:r w:rsidRPr="003E0284">
        <w:rPr>
          <w:rFonts w:ascii="Times New Roman" w:hAnsi="Times New Roman"/>
          <w:lang w:val="sr-Cyrl-BA"/>
        </w:rPr>
        <w:t xml:space="preserve">У току 2023. године окончан је један поступака редовног надзора који је покренут у 2022. години, и то над једним друштвом за управљање у дијелу поштовања законских и других прописа и интерних аката, а који се односи на </w:t>
      </w:r>
      <w:proofErr w:type="spellStart"/>
      <w:r w:rsidRPr="003E0284">
        <w:rPr>
          <w:rFonts w:ascii="Times New Roman" w:hAnsi="Times New Roman"/>
          <w:lang w:val="sr-Cyrl-BA"/>
        </w:rPr>
        <w:t>спречавања</w:t>
      </w:r>
      <w:proofErr w:type="spellEnd"/>
      <w:r w:rsidRPr="003E0284">
        <w:rPr>
          <w:rFonts w:ascii="Times New Roman" w:hAnsi="Times New Roman"/>
          <w:lang w:val="sr-Cyrl-BA"/>
        </w:rPr>
        <w:t xml:space="preserve"> прања новца и финансирање терористичких активности. У току извјештајног периода покренуто је и окончано седам редовних надзора, и то над три </w:t>
      </w:r>
      <w:proofErr w:type="spellStart"/>
      <w:r w:rsidRPr="003E0284">
        <w:rPr>
          <w:rFonts w:ascii="Times New Roman" w:hAnsi="Times New Roman"/>
          <w:lang w:val="sr-Cyrl-BA"/>
        </w:rPr>
        <w:t>кастоди</w:t>
      </w:r>
      <w:proofErr w:type="spellEnd"/>
      <w:r w:rsidRPr="003E0284">
        <w:rPr>
          <w:rFonts w:ascii="Times New Roman" w:hAnsi="Times New Roman"/>
          <w:lang w:val="sr-Cyrl-BA"/>
        </w:rPr>
        <w:t xml:space="preserve"> банке у дијелу поштовања законских и других прописа и интерних аката, а који се односи на </w:t>
      </w:r>
      <w:proofErr w:type="spellStart"/>
      <w:r w:rsidRPr="003E0284">
        <w:rPr>
          <w:rFonts w:ascii="Times New Roman" w:hAnsi="Times New Roman"/>
          <w:lang w:val="sr-Cyrl-BA"/>
        </w:rPr>
        <w:t>спречавања</w:t>
      </w:r>
      <w:proofErr w:type="spellEnd"/>
      <w:r w:rsidRPr="003E0284">
        <w:rPr>
          <w:rFonts w:ascii="Times New Roman" w:hAnsi="Times New Roman"/>
          <w:lang w:val="sr-Cyrl-BA"/>
        </w:rPr>
        <w:t xml:space="preserve"> прања новца и финансирање терористичких активности, и над два друштва за </w:t>
      </w:r>
      <w:proofErr w:type="spellStart"/>
      <w:r w:rsidRPr="003E0284">
        <w:rPr>
          <w:rFonts w:ascii="Times New Roman" w:hAnsi="Times New Roman"/>
          <w:lang w:val="sr-Cyrl-BA"/>
        </w:rPr>
        <w:t>факторинг</w:t>
      </w:r>
      <w:proofErr w:type="spellEnd"/>
      <w:r w:rsidRPr="003E0284">
        <w:rPr>
          <w:rFonts w:ascii="Times New Roman" w:hAnsi="Times New Roman"/>
          <w:lang w:val="sr-Cyrl-BA"/>
        </w:rPr>
        <w:t xml:space="preserve"> у дијелу поштовања законских и других прописа који се односе на обавезу достављања извјештаја Комисији за хартије од вриједности Републике Српске и њихове исправности. Такође, у </w:t>
      </w:r>
      <w:r w:rsidR="002C66E2">
        <w:rPr>
          <w:rFonts w:ascii="Times New Roman" w:hAnsi="Times New Roman"/>
          <w:lang w:val="sr-Cyrl-BA"/>
        </w:rPr>
        <w:t>2023. години</w:t>
      </w:r>
      <w:r w:rsidRPr="003E0284">
        <w:rPr>
          <w:rFonts w:ascii="Times New Roman" w:hAnsi="Times New Roman"/>
          <w:lang w:val="sr-Cyrl-BA"/>
        </w:rPr>
        <w:t xml:space="preserve"> покренута су и окончана два редовна надзора над Централним регистром хартија од вриједности и то један редован надзор </w:t>
      </w:r>
      <w:bookmarkStart w:id="86" w:name="_Hlk164241224"/>
      <w:r w:rsidRPr="003E0284">
        <w:rPr>
          <w:rFonts w:ascii="Times New Roman" w:hAnsi="Times New Roman"/>
          <w:lang w:val="sr-Cyrl-BA"/>
        </w:rPr>
        <w:t xml:space="preserve">у дијелу </w:t>
      </w:r>
      <w:proofErr w:type="spellStart"/>
      <w:r w:rsidRPr="003E0284">
        <w:rPr>
          <w:rFonts w:ascii="Times New Roman" w:hAnsi="Times New Roman"/>
          <w:lang w:val="sr-Cyrl-BA"/>
        </w:rPr>
        <w:t>преноса</w:t>
      </w:r>
      <w:proofErr w:type="spellEnd"/>
      <w:r w:rsidRPr="003E0284">
        <w:rPr>
          <w:rFonts w:ascii="Times New Roman" w:hAnsi="Times New Roman"/>
          <w:lang w:val="sr-Cyrl-BA"/>
        </w:rPr>
        <w:t xml:space="preserve"> хартија од вриједности по основу уговора, судских одлука и одлука других државних органа, те један редован надзор у обављању послова </w:t>
      </w:r>
      <w:proofErr w:type="spellStart"/>
      <w:r w:rsidRPr="003E0284">
        <w:rPr>
          <w:rFonts w:ascii="Times New Roman" w:hAnsi="Times New Roman"/>
          <w:lang w:val="sr-Cyrl-BA"/>
        </w:rPr>
        <w:t>депозитара</w:t>
      </w:r>
      <w:proofErr w:type="spellEnd"/>
      <w:r w:rsidRPr="003E0284">
        <w:rPr>
          <w:rFonts w:ascii="Times New Roman" w:hAnsi="Times New Roman"/>
          <w:lang w:val="sr-Cyrl-BA"/>
        </w:rPr>
        <w:t xml:space="preserve"> у дијелу извршавање налога друштава за управљање инвестиционим фондовима прилико стицања имовине за рачун фондова.</w:t>
      </w:r>
      <w:bookmarkEnd w:id="86"/>
    </w:p>
    <w:p w14:paraId="5041F7AB" w14:textId="66711EA4" w:rsidR="006B6E0C" w:rsidRDefault="003E0284" w:rsidP="003E0284">
      <w:pPr>
        <w:pStyle w:val="Style15"/>
        <w:widowControl/>
        <w:spacing w:before="120" w:after="120" w:line="240" w:lineRule="auto"/>
        <w:ind w:firstLine="567"/>
        <w:rPr>
          <w:rFonts w:ascii="Times New Roman" w:hAnsi="Times New Roman"/>
          <w:lang w:val="sr-Cyrl-BA"/>
        </w:rPr>
      </w:pPr>
      <w:r w:rsidRPr="003E0284">
        <w:rPr>
          <w:rFonts w:ascii="Times New Roman" w:hAnsi="Times New Roman"/>
          <w:lang w:val="sr-Cyrl-BA"/>
        </w:rPr>
        <w:t xml:space="preserve">У току 2023. године покренут је и окончан један ванредни надзор над Централним регистром хартија од вриједности чији је предмет био </w:t>
      </w:r>
      <w:proofErr w:type="spellStart"/>
      <w:r w:rsidRPr="003E0284">
        <w:rPr>
          <w:rFonts w:ascii="Times New Roman" w:hAnsi="Times New Roman"/>
          <w:lang w:val="sr-Cyrl-BA"/>
        </w:rPr>
        <w:t>пренос</w:t>
      </w:r>
      <w:proofErr w:type="spellEnd"/>
      <w:r w:rsidRPr="003E0284">
        <w:rPr>
          <w:rFonts w:ascii="Times New Roman" w:hAnsi="Times New Roman"/>
          <w:lang w:val="sr-Cyrl-BA"/>
        </w:rPr>
        <w:t xml:space="preserve"> хартија од вриједности једног </w:t>
      </w:r>
      <w:proofErr w:type="spellStart"/>
      <w:r w:rsidRPr="003E0284">
        <w:rPr>
          <w:rFonts w:ascii="Times New Roman" w:hAnsi="Times New Roman"/>
          <w:lang w:val="sr-Cyrl-BA"/>
        </w:rPr>
        <w:t>емитента</w:t>
      </w:r>
      <w:proofErr w:type="spellEnd"/>
      <w:r w:rsidR="000D7500" w:rsidRPr="00EF2179">
        <w:rPr>
          <w:rFonts w:ascii="Times New Roman" w:hAnsi="Times New Roman"/>
          <w:lang w:val="sr-Cyrl-BA"/>
        </w:rPr>
        <w:t>.</w:t>
      </w:r>
    </w:p>
    <w:p w14:paraId="1CB15751" w14:textId="5F80BF3B" w:rsidR="00C82038" w:rsidRDefault="00C82038" w:rsidP="003E0284">
      <w:pPr>
        <w:pStyle w:val="Style15"/>
        <w:widowControl/>
        <w:spacing w:before="120" w:after="120" w:line="240" w:lineRule="auto"/>
        <w:ind w:firstLine="567"/>
        <w:rPr>
          <w:rFonts w:ascii="Times New Roman" w:hAnsi="Times New Roman"/>
          <w:lang w:val="sr-Cyrl-BA"/>
        </w:rPr>
      </w:pPr>
    </w:p>
    <w:p w14:paraId="6935353E" w14:textId="39487134" w:rsidR="00C82038" w:rsidRDefault="00C82038" w:rsidP="003E0284">
      <w:pPr>
        <w:pStyle w:val="Style15"/>
        <w:widowControl/>
        <w:spacing w:before="120" w:after="120" w:line="240" w:lineRule="auto"/>
        <w:ind w:firstLine="567"/>
        <w:rPr>
          <w:rFonts w:ascii="Times New Roman" w:hAnsi="Times New Roman"/>
          <w:lang w:val="sr-Cyrl-BA"/>
        </w:rPr>
      </w:pPr>
    </w:p>
    <w:p w14:paraId="2B2B9E06" w14:textId="77777777" w:rsidR="00C82038" w:rsidRPr="00EF2179" w:rsidRDefault="00C82038" w:rsidP="003E0284">
      <w:pPr>
        <w:pStyle w:val="Style15"/>
        <w:widowControl/>
        <w:spacing w:before="120" w:after="120" w:line="240" w:lineRule="auto"/>
        <w:ind w:firstLine="567"/>
        <w:rPr>
          <w:rFonts w:ascii="Times New Roman" w:hAnsi="Times New Roman"/>
          <w:lang w:val="sr-Cyrl-BA"/>
        </w:rPr>
      </w:pPr>
    </w:p>
    <w:tbl>
      <w:tblPr>
        <w:tblStyle w:val="LightGrid-Accent14"/>
        <w:tblW w:w="4738" w:type="pct"/>
        <w:jc w:val="center"/>
        <w:tblLook w:val="0460" w:firstRow="1" w:lastRow="1" w:firstColumn="0" w:lastColumn="0" w:noHBand="0" w:noVBand="1"/>
      </w:tblPr>
      <w:tblGrid>
        <w:gridCol w:w="7214"/>
        <w:gridCol w:w="1586"/>
      </w:tblGrid>
      <w:tr w:rsidR="006B6E0C" w:rsidRPr="00E564A8" w14:paraId="59055165" w14:textId="77777777" w:rsidTr="00EF2179">
        <w:trPr>
          <w:cnfStyle w:val="100000000000" w:firstRow="1" w:lastRow="0" w:firstColumn="0" w:lastColumn="0" w:oddVBand="0" w:evenVBand="0" w:oddHBand="0" w:evenHBand="0" w:firstRowFirstColumn="0" w:firstRowLastColumn="0" w:lastRowFirstColumn="0" w:lastRowLastColumn="0"/>
          <w:jc w:val="center"/>
        </w:trPr>
        <w:tc>
          <w:tcPr>
            <w:tcW w:w="4099" w:type="pct"/>
          </w:tcPr>
          <w:p w14:paraId="0DC74E11" w14:textId="77777777" w:rsidR="006B6E0C" w:rsidRPr="00E564A8" w:rsidRDefault="006B6E0C" w:rsidP="006B6E0C">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Предмет надзора/учесници на тржишту</w:t>
            </w:r>
          </w:p>
        </w:tc>
        <w:tc>
          <w:tcPr>
            <w:tcW w:w="901" w:type="pct"/>
          </w:tcPr>
          <w:p w14:paraId="320A87B7" w14:textId="77777777" w:rsidR="006B6E0C" w:rsidRPr="00E564A8" w:rsidRDefault="006B6E0C" w:rsidP="006B6E0C">
            <w:pPr>
              <w:spacing w:after="0" w:line="240" w:lineRule="auto"/>
              <w:ind w:firstLine="0"/>
              <w:jc w:val="center"/>
              <w:rPr>
                <w:rFonts w:ascii="Times New Roman" w:hAnsi="Times New Roman" w:cs="Times New Roman"/>
                <w:sz w:val="20"/>
                <w:szCs w:val="20"/>
                <w:lang w:val="sr-Cyrl-BA"/>
              </w:rPr>
            </w:pPr>
            <w:r w:rsidRPr="00E564A8">
              <w:rPr>
                <w:rFonts w:ascii="Times New Roman" w:hAnsi="Times New Roman" w:cs="Times New Roman"/>
                <w:sz w:val="20"/>
                <w:szCs w:val="20"/>
                <w:lang w:val="sr-Cyrl-BA"/>
              </w:rPr>
              <w:t>Број надзора</w:t>
            </w:r>
          </w:p>
        </w:tc>
      </w:tr>
      <w:tr w:rsidR="003E0284" w:rsidRPr="00E564A8" w14:paraId="1CB23268" w14:textId="77777777" w:rsidTr="00EF2179">
        <w:trPr>
          <w:cnfStyle w:val="000000100000" w:firstRow="0" w:lastRow="0" w:firstColumn="0" w:lastColumn="0" w:oddVBand="0" w:evenVBand="0" w:oddHBand="1" w:evenHBand="0" w:firstRowFirstColumn="0" w:firstRowLastColumn="0" w:lastRowFirstColumn="0" w:lastRowLastColumn="0"/>
          <w:trHeight w:val="131"/>
          <w:jc w:val="center"/>
        </w:trPr>
        <w:tc>
          <w:tcPr>
            <w:tcW w:w="4099" w:type="pct"/>
          </w:tcPr>
          <w:p w14:paraId="3C106855" w14:textId="5E3FE45C"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 xml:space="preserve">Трговање хартијама од вриједности </w:t>
            </w:r>
            <w:proofErr w:type="spellStart"/>
            <w:r w:rsidRPr="00E564A8">
              <w:rPr>
                <w:rFonts w:ascii="Times New Roman" w:hAnsi="Times New Roman" w:cs="Times New Roman"/>
                <w:sz w:val="20"/>
                <w:szCs w:val="20"/>
                <w:lang w:val="sr-Cyrl-BA"/>
              </w:rPr>
              <w:t>емитената</w:t>
            </w:r>
            <w:proofErr w:type="spellEnd"/>
            <w:r w:rsidRPr="00E564A8">
              <w:rPr>
                <w:rFonts w:ascii="Times New Roman" w:hAnsi="Times New Roman" w:cs="Times New Roman"/>
                <w:sz w:val="20"/>
                <w:szCs w:val="20"/>
                <w:lang w:val="sr-Cyrl-BA"/>
              </w:rPr>
              <w:t xml:space="preserve"> </w:t>
            </w:r>
          </w:p>
        </w:tc>
        <w:tc>
          <w:tcPr>
            <w:tcW w:w="901" w:type="pct"/>
          </w:tcPr>
          <w:p w14:paraId="5C7F5A25" w14:textId="3131AE6E"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rPr>
              <w:t>1</w:t>
            </w:r>
          </w:p>
        </w:tc>
      </w:tr>
      <w:tr w:rsidR="003E0284" w:rsidRPr="00E564A8" w14:paraId="4219597C"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7B448802" w14:textId="6FA6C09B"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Анализа мјесечног трговања и стања на Бањалучкој берзи</w:t>
            </w:r>
          </w:p>
        </w:tc>
        <w:tc>
          <w:tcPr>
            <w:tcW w:w="901" w:type="pct"/>
          </w:tcPr>
          <w:p w14:paraId="0F22B8D4" w14:textId="5CFCCC0F"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lang w:val="sr-Cyrl-BA"/>
              </w:rPr>
              <w:t>1</w:t>
            </w:r>
            <w:r w:rsidRPr="00E564A8">
              <w:rPr>
                <w:rFonts w:ascii="Times New Roman" w:hAnsi="Times New Roman" w:cs="Times New Roman"/>
                <w:sz w:val="20"/>
                <w:szCs w:val="20"/>
              </w:rPr>
              <w:t>2</w:t>
            </w:r>
          </w:p>
        </w:tc>
      </w:tr>
      <w:tr w:rsidR="003E0284" w:rsidRPr="00E564A8" w14:paraId="332DD665"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618AB3ED" w14:textId="0ABD7761"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Берзански посредници</w:t>
            </w:r>
          </w:p>
        </w:tc>
        <w:tc>
          <w:tcPr>
            <w:tcW w:w="901" w:type="pct"/>
          </w:tcPr>
          <w:p w14:paraId="212568AF" w14:textId="1958A4B9" w:rsidR="003E0284" w:rsidRPr="00E564A8" w:rsidDel="00AC78CA"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lang w:val="sr-Cyrl-BA"/>
              </w:rPr>
              <w:t>-</w:t>
            </w:r>
          </w:p>
        </w:tc>
      </w:tr>
      <w:tr w:rsidR="003E0284" w:rsidRPr="00E564A8" w14:paraId="1CE25717"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0086ABD9" w14:textId="2CA20A37"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Друштва за управљање</w:t>
            </w:r>
          </w:p>
        </w:tc>
        <w:tc>
          <w:tcPr>
            <w:tcW w:w="901" w:type="pct"/>
          </w:tcPr>
          <w:p w14:paraId="497B5E6D" w14:textId="30DF3862"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lang w:val="sr-Cyrl-BA"/>
              </w:rPr>
              <w:t>1</w:t>
            </w:r>
          </w:p>
        </w:tc>
      </w:tr>
      <w:tr w:rsidR="003E0284" w:rsidRPr="00E564A8" w14:paraId="154C9486"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233C3FB" w14:textId="7C3DD2AC"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Пословање овлашћених учесника на тржишту хартија од вриједности</w:t>
            </w:r>
          </w:p>
        </w:tc>
        <w:tc>
          <w:tcPr>
            <w:tcW w:w="901" w:type="pct"/>
          </w:tcPr>
          <w:p w14:paraId="06F2379F" w14:textId="14B42A09"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rPr>
              <w:t>1</w:t>
            </w:r>
          </w:p>
        </w:tc>
      </w:tr>
      <w:tr w:rsidR="003E0284" w:rsidRPr="00E564A8" w14:paraId="5F6EE044"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35EA9047" w14:textId="2376998A" w:rsidR="003E0284" w:rsidRPr="00E564A8" w:rsidRDefault="003E0284" w:rsidP="003E0284">
            <w:pPr>
              <w:spacing w:after="0" w:line="240" w:lineRule="auto"/>
              <w:ind w:firstLine="0"/>
              <w:rPr>
                <w:rFonts w:ascii="Times New Roman" w:hAnsi="Times New Roman" w:cs="Times New Roman"/>
                <w:sz w:val="20"/>
                <w:szCs w:val="20"/>
                <w:lang w:val="sr-Cyrl-BA"/>
              </w:rPr>
            </w:pPr>
            <w:proofErr w:type="spellStart"/>
            <w:r w:rsidRPr="00E564A8">
              <w:rPr>
                <w:rFonts w:ascii="Times New Roman" w:hAnsi="Times New Roman" w:cs="Times New Roman"/>
                <w:sz w:val="20"/>
                <w:szCs w:val="20"/>
                <w:lang w:val="sr-Cyrl-BA"/>
              </w:rPr>
              <w:t>Кастоди</w:t>
            </w:r>
            <w:proofErr w:type="spellEnd"/>
            <w:r w:rsidRPr="00E564A8">
              <w:rPr>
                <w:rFonts w:ascii="Times New Roman" w:hAnsi="Times New Roman" w:cs="Times New Roman"/>
                <w:sz w:val="20"/>
                <w:szCs w:val="20"/>
                <w:lang w:val="sr-Cyrl-BA"/>
              </w:rPr>
              <w:t xml:space="preserve"> банке </w:t>
            </w:r>
          </w:p>
        </w:tc>
        <w:tc>
          <w:tcPr>
            <w:tcW w:w="901" w:type="pct"/>
          </w:tcPr>
          <w:p w14:paraId="02ADC518" w14:textId="79C044B4"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lang w:val="sr-Cyrl-BA"/>
              </w:rPr>
              <w:t>3</w:t>
            </w:r>
          </w:p>
        </w:tc>
      </w:tr>
      <w:tr w:rsidR="003E0284" w:rsidRPr="00E564A8" w14:paraId="0307EE31"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B9E7389" w14:textId="29E01EF9"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 xml:space="preserve">Банке </w:t>
            </w:r>
            <w:proofErr w:type="spellStart"/>
            <w:r w:rsidRPr="00E564A8">
              <w:rPr>
                <w:rFonts w:ascii="Times New Roman" w:hAnsi="Times New Roman" w:cs="Times New Roman"/>
                <w:sz w:val="20"/>
                <w:szCs w:val="20"/>
                <w:lang w:val="sr-Cyrl-BA"/>
              </w:rPr>
              <w:t>депозитари</w:t>
            </w:r>
            <w:proofErr w:type="spellEnd"/>
            <w:r w:rsidRPr="00E564A8">
              <w:rPr>
                <w:rFonts w:ascii="Times New Roman" w:hAnsi="Times New Roman" w:cs="Times New Roman"/>
                <w:sz w:val="20"/>
                <w:szCs w:val="20"/>
                <w:lang w:val="sr-Cyrl-BA"/>
              </w:rPr>
              <w:t xml:space="preserve"> (укључујући Централни регистар као </w:t>
            </w:r>
            <w:proofErr w:type="spellStart"/>
            <w:r w:rsidRPr="00E564A8">
              <w:rPr>
                <w:rFonts w:ascii="Times New Roman" w:hAnsi="Times New Roman" w:cs="Times New Roman"/>
                <w:sz w:val="20"/>
                <w:szCs w:val="20"/>
                <w:lang w:val="sr-Cyrl-BA"/>
              </w:rPr>
              <w:t>депозитара</w:t>
            </w:r>
            <w:proofErr w:type="spellEnd"/>
            <w:r w:rsidRPr="00E564A8">
              <w:rPr>
                <w:rFonts w:ascii="Times New Roman" w:hAnsi="Times New Roman" w:cs="Times New Roman"/>
                <w:sz w:val="20"/>
                <w:szCs w:val="20"/>
                <w:lang w:val="sr-Cyrl-BA"/>
              </w:rPr>
              <w:t>)</w:t>
            </w:r>
          </w:p>
        </w:tc>
        <w:tc>
          <w:tcPr>
            <w:tcW w:w="901" w:type="pct"/>
          </w:tcPr>
          <w:p w14:paraId="48C32FA7" w14:textId="2518C2E6"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rPr>
              <w:t>1</w:t>
            </w:r>
          </w:p>
        </w:tc>
      </w:tr>
      <w:tr w:rsidR="003E0284" w:rsidRPr="00E564A8" w14:paraId="7D8E65BE"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2497D14" w14:textId="249E2EA7"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Централни регистар</w:t>
            </w:r>
            <w:r w:rsidRPr="00E564A8">
              <w:rPr>
                <w:rFonts w:ascii="Times New Roman" w:hAnsi="Times New Roman" w:cs="Times New Roman"/>
                <w:sz w:val="20"/>
                <w:szCs w:val="20"/>
              </w:rPr>
              <w:t xml:space="preserve"> </w:t>
            </w:r>
            <w:r w:rsidRPr="00E564A8">
              <w:rPr>
                <w:rFonts w:ascii="Times New Roman" w:hAnsi="Times New Roman" w:cs="Times New Roman"/>
                <w:sz w:val="20"/>
                <w:szCs w:val="20"/>
                <w:lang w:val="sr-Cyrl-BA"/>
              </w:rPr>
              <w:t>хартија од вриједности</w:t>
            </w:r>
          </w:p>
        </w:tc>
        <w:tc>
          <w:tcPr>
            <w:tcW w:w="901" w:type="pct"/>
          </w:tcPr>
          <w:p w14:paraId="385059B6" w14:textId="6F4E01C9" w:rsidR="003E0284" w:rsidRPr="00E564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E564A8">
              <w:rPr>
                <w:rFonts w:ascii="Times New Roman" w:hAnsi="Times New Roman" w:cs="Times New Roman"/>
                <w:sz w:val="20"/>
                <w:szCs w:val="20"/>
                <w:lang w:val="sr-Cyrl-BA"/>
              </w:rPr>
              <w:t>2</w:t>
            </w:r>
          </w:p>
        </w:tc>
      </w:tr>
      <w:tr w:rsidR="003E0284" w:rsidRPr="00E564A8" w14:paraId="2CB23729"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7E1DE780" w14:textId="1EA77C4D"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lastRenderedPageBreak/>
              <w:t>Бањалучка берза</w:t>
            </w:r>
          </w:p>
        </w:tc>
        <w:tc>
          <w:tcPr>
            <w:tcW w:w="901" w:type="pct"/>
          </w:tcPr>
          <w:p w14:paraId="5C470C5D" w14:textId="1A584841" w:rsidR="003E0284" w:rsidRPr="00E564A8" w:rsidRDefault="003E0284" w:rsidP="003E0284">
            <w:pPr>
              <w:tabs>
                <w:tab w:val="decimal" w:pos="816"/>
              </w:tabs>
              <w:spacing w:after="0" w:line="240" w:lineRule="auto"/>
              <w:ind w:firstLine="0"/>
              <w:jc w:val="left"/>
              <w:rPr>
                <w:rFonts w:ascii="Times New Roman" w:hAnsi="Times New Roman" w:cs="Times New Roman"/>
                <w:sz w:val="20"/>
                <w:szCs w:val="20"/>
                <w:lang w:val="sr-Cyrl-BA"/>
              </w:rPr>
            </w:pPr>
            <w:r w:rsidRPr="00E564A8">
              <w:rPr>
                <w:rFonts w:ascii="Times New Roman" w:hAnsi="Times New Roman" w:cs="Times New Roman"/>
                <w:sz w:val="20"/>
                <w:szCs w:val="20"/>
                <w:lang w:val="sr-Cyrl-BA"/>
              </w:rPr>
              <w:t>-</w:t>
            </w:r>
          </w:p>
        </w:tc>
      </w:tr>
      <w:tr w:rsidR="003E0284" w:rsidRPr="00E564A8" w14:paraId="722931FA"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9AE472C" w14:textId="47D89485" w:rsidR="003E0284" w:rsidRPr="00E564A8" w:rsidRDefault="003E0284" w:rsidP="003E0284">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 xml:space="preserve">Друштва за </w:t>
            </w:r>
            <w:proofErr w:type="spellStart"/>
            <w:r w:rsidRPr="00E564A8">
              <w:rPr>
                <w:rFonts w:ascii="Times New Roman" w:hAnsi="Times New Roman" w:cs="Times New Roman"/>
                <w:sz w:val="20"/>
                <w:szCs w:val="20"/>
                <w:lang w:val="sr-Cyrl-BA"/>
              </w:rPr>
              <w:t>факторинг</w:t>
            </w:r>
            <w:proofErr w:type="spellEnd"/>
          </w:p>
        </w:tc>
        <w:tc>
          <w:tcPr>
            <w:tcW w:w="901" w:type="pct"/>
          </w:tcPr>
          <w:p w14:paraId="5DED42D1" w14:textId="5AC680EA" w:rsidR="003E0284" w:rsidRPr="00E564A8" w:rsidRDefault="003E0284" w:rsidP="003E0284">
            <w:pPr>
              <w:tabs>
                <w:tab w:val="decimal" w:pos="816"/>
              </w:tabs>
              <w:spacing w:after="0" w:line="240" w:lineRule="auto"/>
              <w:ind w:firstLine="0"/>
              <w:jc w:val="left"/>
              <w:rPr>
                <w:rFonts w:ascii="Times New Roman" w:hAnsi="Times New Roman" w:cs="Times New Roman"/>
                <w:sz w:val="20"/>
                <w:szCs w:val="20"/>
                <w:lang w:val="sr-Cyrl-BA"/>
              </w:rPr>
            </w:pPr>
            <w:r w:rsidRPr="00E564A8">
              <w:rPr>
                <w:rFonts w:ascii="Times New Roman" w:hAnsi="Times New Roman" w:cs="Times New Roman"/>
                <w:sz w:val="20"/>
                <w:szCs w:val="20"/>
                <w:lang w:val="sr-Cyrl-BA"/>
              </w:rPr>
              <w:t>2</w:t>
            </w:r>
          </w:p>
        </w:tc>
      </w:tr>
      <w:tr w:rsidR="003E0284" w:rsidRPr="00E564A8" w14:paraId="50D0C569" w14:textId="77777777" w:rsidTr="00EF2179">
        <w:trPr>
          <w:cnfStyle w:val="010000000000" w:firstRow="0" w:lastRow="1" w:firstColumn="0" w:lastColumn="0" w:oddVBand="0" w:evenVBand="0" w:oddHBand="0" w:evenHBand="0" w:firstRowFirstColumn="0" w:firstRowLastColumn="0" w:lastRowFirstColumn="0" w:lastRowLastColumn="0"/>
          <w:jc w:val="center"/>
        </w:trPr>
        <w:tc>
          <w:tcPr>
            <w:tcW w:w="4099" w:type="pct"/>
          </w:tcPr>
          <w:p w14:paraId="20A2095A" w14:textId="2FBE7E83" w:rsidR="003E0284" w:rsidRPr="00E564A8" w:rsidRDefault="003E0284" w:rsidP="006B6E0C">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УКУПНО</w:t>
            </w:r>
          </w:p>
        </w:tc>
        <w:tc>
          <w:tcPr>
            <w:tcW w:w="901" w:type="pct"/>
          </w:tcPr>
          <w:p w14:paraId="034D8AC1" w14:textId="63E5B2A4" w:rsidR="003E0284" w:rsidRPr="00E564A8" w:rsidRDefault="003E0284" w:rsidP="00032E84">
            <w:pPr>
              <w:tabs>
                <w:tab w:val="decimal" w:pos="816"/>
              </w:tabs>
              <w:spacing w:after="0" w:line="240" w:lineRule="auto"/>
              <w:ind w:firstLine="0"/>
              <w:jc w:val="left"/>
              <w:rPr>
                <w:rFonts w:ascii="Times New Roman" w:hAnsi="Times New Roman" w:cs="Times New Roman"/>
                <w:sz w:val="20"/>
                <w:szCs w:val="20"/>
                <w:lang w:val="sr-Cyrl-BA"/>
              </w:rPr>
            </w:pPr>
            <w:r w:rsidRPr="00E564A8">
              <w:rPr>
                <w:rFonts w:ascii="Times New Roman" w:hAnsi="Times New Roman" w:cs="Times New Roman"/>
                <w:sz w:val="20"/>
                <w:szCs w:val="20"/>
                <w:lang w:val="sr-Cyrl-BA"/>
              </w:rPr>
              <w:t>23</w:t>
            </w:r>
          </w:p>
        </w:tc>
      </w:tr>
    </w:tbl>
    <w:p w14:paraId="308BFFB4" w14:textId="56D34573" w:rsidR="006B6E0C" w:rsidRPr="006B6E0C" w:rsidRDefault="006B6E0C" w:rsidP="006B6E0C">
      <w:pPr>
        <w:tabs>
          <w:tab w:val="left" w:pos="1418"/>
        </w:tabs>
        <w:spacing w:line="240" w:lineRule="auto"/>
        <w:ind w:left="1418" w:hanging="1418"/>
        <w:rPr>
          <w:noProof/>
          <w:lang w:val="sr-Cyrl-BA"/>
        </w:rPr>
      </w:pPr>
      <w:r w:rsidRPr="00661D85">
        <w:rPr>
          <w:b/>
          <w:lang w:val="sr-Cyrl-BA"/>
        </w:rPr>
        <w:t xml:space="preserve">Табела </w:t>
      </w:r>
      <w:r w:rsidRPr="00661D85">
        <w:rPr>
          <w:b/>
          <w:lang w:val="sr-Cyrl-BA"/>
        </w:rPr>
        <w:fldChar w:fldCharType="begin"/>
      </w:r>
      <w:r w:rsidRPr="00661D85">
        <w:rPr>
          <w:b/>
          <w:lang w:val="sr-Cyrl-BA"/>
        </w:rPr>
        <w:instrText xml:space="preserve"> SEQ Табела \* ARABIC </w:instrText>
      </w:r>
      <w:r w:rsidRPr="00661D85">
        <w:rPr>
          <w:b/>
          <w:lang w:val="sr-Cyrl-BA"/>
        </w:rPr>
        <w:fldChar w:fldCharType="separate"/>
      </w:r>
      <w:r w:rsidR="00C64B5B">
        <w:rPr>
          <w:b/>
          <w:noProof/>
          <w:lang w:val="sr-Cyrl-BA"/>
        </w:rPr>
        <w:t>18</w:t>
      </w:r>
      <w:r w:rsidRPr="00661D85">
        <w:rPr>
          <w:b/>
          <w:lang w:val="sr-Cyrl-BA"/>
        </w:rPr>
        <w:fldChar w:fldCharType="end"/>
      </w:r>
      <w:r w:rsidRPr="00661D85">
        <w:rPr>
          <w:b/>
          <w:lang w:val="sr-Cyrl-BA"/>
        </w:rPr>
        <w:t>.</w:t>
      </w:r>
      <w:r w:rsidRPr="00661D85">
        <w:rPr>
          <w:b/>
          <w:lang w:val="sr-Cyrl-BA"/>
        </w:rPr>
        <w:tab/>
      </w:r>
      <w:r w:rsidRPr="006B6E0C">
        <w:rPr>
          <w:b/>
          <w:lang w:val="sr-Cyrl-BA"/>
        </w:rPr>
        <w:tab/>
      </w:r>
      <w:r w:rsidRPr="006B6E0C">
        <w:rPr>
          <w:lang w:val="sr-Cyrl-BA"/>
        </w:rPr>
        <w:t xml:space="preserve">Надзорне активности према предмету надзора/учесницима на тржишту у </w:t>
      </w:r>
      <w:r w:rsidR="003E0284">
        <w:rPr>
          <w:lang w:val="sr-Cyrl-BA"/>
        </w:rPr>
        <w:t>2023</w:t>
      </w:r>
      <w:r w:rsidRPr="006B6E0C">
        <w:rPr>
          <w:lang w:val="sr-Cyrl-BA"/>
        </w:rPr>
        <w:t>. години</w:t>
      </w:r>
    </w:p>
    <w:p w14:paraId="05DD6A05" w14:textId="277B57DD" w:rsidR="006B6E0C" w:rsidRPr="006B6E0C" w:rsidRDefault="003D08FA" w:rsidP="006B6E0C">
      <w:pPr>
        <w:keepNext/>
        <w:autoSpaceDE w:val="0"/>
        <w:autoSpaceDN w:val="0"/>
        <w:adjustRightInd w:val="0"/>
        <w:spacing w:line="240" w:lineRule="auto"/>
        <w:ind w:firstLine="0"/>
        <w:jc w:val="center"/>
        <w:rPr>
          <w:noProof/>
          <w:lang w:val="sr-Cyrl-BA"/>
        </w:rPr>
      </w:pPr>
      <w:r>
        <w:rPr>
          <w:noProof/>
        </w:rPr>
        <w:drawing>
          <wp:inline distT="0" distB="0" distL="0" distR="0" wp14:anchorId="41E679B9" wp14:editId="33255043">
            <wp:extent cx="5732145" cy="4511675"/>
            <wp:effectExtent l="0" t="0" r="40005" b="3175"/>
            <wp:docPr id="2" name="Chart 6">
              <a:extLst xmlns:a="http://schemas.openxmlformats.org/drawingml/2006/main">
                <a:ext uri="{FF2B5EF4-FFF2-40B4-BE49-F238E27FC236}">
                  <a16:creationId xmlns:a16="http://schemas.microsoft.com/office/drawing/2014/main" id="{B488C772-E763-41ED-B76B-47526F94E5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2F8406" w14:textId="6992E04B" w:rsidR="006B6E0C" w:rsidRPr="006B6E0C" w:rsidRDefault="00A2091B" w:rsidP="006B6E0C">
      <w:pPr>
        <w:pStyle w:val="Caption"/>
        <w:tabs>
          <w:tab w:val="left" w:pos="1276"/>
        </w:tabs>
        <w:spacing w:after="0"/>
        <w:ind w:left="1276" w:hanging="1276"/>
        <w:jc w:val="both"/>
        <w:rPr>
          <w:rFonts w:ascii="Times New Roman" w:hAnsi="Times New Roman"/>
          <w:b w:val="0"/>
          <w:sz w:val="24"/>
          <w:szCs w:val="24"/>
          <w:lang w:val="sr-Cyrl-BA"/>
        </w:rPr>
      </w:pPr>
      <w:r w:rsidRPr="005B1E90">
        <w:rPr>
          <w:rFonts w:ascii="Times New Roman" w:hAnsi="Times New Roman"/>
          <w:sz w:val="24"/>
          <w:szCs w:val="24"/>
          <w:lang w:val="sr-Cyrl-BA"/>
        </w:rPr>
        <w:t xml:space="preserve">Слика </w:t>
      </w:r>
      <w:r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Pr="005B1E90">
        <w:rPr>
          <w:rFonts w:ascii="Times New Roman" w:hAnsi="Times New Roman"/>
          <w:sz w:val="24"/>
          <w:szCs w:val="24"/>
          <w:lang w:val="sr-Cyrl-BA"/>
        </w:rPr>
        <w:fldChar w:fldCharType="separate"/>
      </w:r>
      <w:r w:rsidR="00C64B5B">
        <w:rPr>
          <w:rFonts w:ascii="Times New Roman" w:hAnsi="Times New Roman"/>
          <w:noProof/>
          <w:sz w:val="24"/>
          <w:szCs w:val="24"/>
          <w:lang w:val="sr-Cyrl-BA"/>
        </w:rPr>
        <w:t>2</w:t>
      </w:r>
      <w:r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006B6E0C" w:rsidRPr="006B6E0C">
        <w:rPr>
          <w:rFonts w:ascii="Times New Roman" w:hAnsi="Times New Roman"/>
          <w:sz w:val="24"/>
          <w:szCs w:val="24"/>
          <w:lang w:val="sr-Cyrl-BA"/>
        </w:rPr>
        <w:tab/>
      </w:r>
      <w:r w:rsidR="006B6E0C" w:rsidRPr="006B6E0C">
        <w:rPr>
          <w:rFonts w:ascii="Times New Roman" w:hAnsi="Times New Roman"/>
          <w:b w:val="0"/>
          <w:sz w:val="24"/>
          <w:szCs w:val="24"/>
          <w:lang w:val="sr-Cyrl-BA"/>
        </w:rPr>
        <w:t xml:space="preserve">Надзорне активности према учесницима на тржишту у </w:t>
      </w:r>
      <w:r w:rsidR="003D08FA">
        <w:rPr>
          <w:rFonts w:ascii="Times New Roman" w:hAnsi="Times New Roman"/>
          <w:b w:val="0"/>
          <w:sz w:val="24"/>
          <w:szCs w:val="24"/>
          <w:lang w:val="sr-Cyrl-BA"/>
        </w:rPr>
        <w:t>2023</w:t>
      </w:r>
      <w:r w:rsidR="006B6E0C" w:rsidRPr="006B6E0C">
        <w:rPr>
          <w:rFonts w:ascii="Times New Roman" w:hAnsi="Times New Roman"/>
          <w:b w:val="0"/>
          <w:sz w:val="24"/>
          <w:szCs w:val="24"/>
          <w:lang w:val="sr-Cyrl-BA"/>
        </w:rPr>
        <w:t>. години</w:t>
      </w:r>
    </w:p>
    <w:p w14:paraId="392A70B8" w14:textId="75AAF5DA" w:rsidR="006B6E0C" w:rsidRPr="00704D5B" w:rsidRDefault="00EF2179" w:rsidP="006B6E0C">
      <w:pPr>
        <w:spacing w:after="0" w:line="240" w:lineRule="auto"/>
        <w:rPr>
          <w:rFonts w:eastAsia="Times New Roman"/>
          <w:bCs/>
          <w:lang w:val="sr-Cyrl-BA" w:eastAsia="sr-Latn-CS"/>
        </w:rPr>
      </w:pPr>
      <w:r w:rsidRPr="002D49F9">
        <w:rPr>
          <w:lang w:val="sr-Cyrl-BA"/>
        </w:rPr>
        <w:t>Према</w:t>
      </w:r>
      <w:r w:rsidRPr="002D49F9">
        <w:rPr>
          <w:rFonts w:eastAsia="Times New Roman"/>
          <w:bCs/>
          <w:lang w:val="sr-Cyrl-BA" w:eastAsia="sr-Latn-CS"/>
        </w:rPr>
        <w:t xml:space="preserve"> врсти надзора, </w:t>
      </w:r>
      <w:r w:rsidR="003D08FA" w:rsidRPr="002D49F9">
        <w:rPr>
          <w:rFonts w:eastAsia="Times New Roman"/>
          <w:bCs/>
          <w:lang w:val="sr-Cyrl-BA" w:eastAsia="sr-Latn-CS"/>
        </w:rPr>
        <w:t xml:space="preserve">у </w:t>
      </w:r>
      <w:r w:rsidR="003D08FA">
        <w:rPr>
          <w:rFonts w:eastAsia="Times New Roman"/>
          <w:bCs/>
          <w:lang w:val="sr-Cyrl-BA" w:eastAsia="sr-Latn-CS"/>
        </w:rPr>
        <w:t>току 2023. године</w:t>
      </w:r>
      <w:r w:rsidR="003D08FA" w:rsidRPr="002D49F9">
        <w:rPr>
          <w:rFonts w:eastAsia="Times New Roman"/>
          <w:bCs/>
          <w:lang w:val="sr-Cyrl-BA" w:eastAsia="sr-Latn-CS"/>
        </w:rPr>
        <w:t xml:space="preserve"> вођен</w:t>
      </w:r>
      <w:r w:rsidR="003D08FA">
        <w:rPr>
          <w:rFonts w:eastAsia="Times New Roman"/>
          <w:bCs/>
          <w:lang w:val="sr-Cyrl-BA" w:eastAsia="sr-Latn-CS"/>
        </w:rPr>
        <w:t>о</w:t>
      </w:r>
      <w:r w:rsidR="003D08FA" w:rsidRPr="002D49F9">
        <w:rPr>
          <w:rFonts w:eastAsia="Times New Roman"/>
          <w:bCs/>
          <w:lang w:val="sr-Cyrl-BA" w:eastAsia="sr-Latn-CS"/>
        </w:rPr>
        <w:t xml:space="preserve"> је </w:t>
      </w:r>
      <w:r w:rsidR="003D08FA">
        <w:rPr>
          <w:rFonts w:eastAsia="Times New Roman"/>
          <w:bCs/>
          <w:lang w:val="sr-Cyrl-BA" w:eastAsia="sr-Latn-CS"/>
        </w:rPr>
        <w:t xml:space="preserve">четрнаест </w:t>
      </w:r>
      <w:r w:rsidR="003D08FA" w:rsidRPr="002D49F9">
        <w:rPr>
          <w:rFonts w:eastAsia="Times New Roman"/>
          <w:bCs/>
          <w:lang w:val="sr-Cyrl-BA" w:eastAsia="sr-Latn-CS"/>
        </w:rPr>
        <w:t>континуиран</w:t>
      </w:r>
      <w:r w:rsidR="003D08FA">
        <w:rPr>
          <w:rFonts w:eastAsia="Times New Roman"/>
          <w:bCs/>
          <w:lang w:val="sr-Cyrl-BA" w:eastAsia="sr-Latn-CS"/>
        </w:rPr>
        <w:t>их надзора, осам</w:t>
      </w:r>
      <w:r w:rsidR="003D08FA" w:rsidRPr="002D49F9">
        <w:rPr>
          <w:rFonts w:eastAsia="Times New Roman"/>
          <w:bCs/>
          <w:lang w:val="sr-Cyrl-BA" w:eastAsia="sr-Latn-CS"/>
        </w:rPr>
        <w:t xml:space="preserve"> редовн</w:t>
      </w:r>
      <w:r w:rsidR="003D08FA">
        <w:rPr>
          <w:rFonts w:eastAsia="Times New Roman"/>
          <w:bCs/>
          <w:lang w:val="sr-Cyrl-BA" w:eastAsia="sr-Latn-CS"/>
        </w:rPr>
        <w:t>их надзора и један ванредни</w:t>
      </w:r>
      <w:r w:rsidR="003D08FA" w:rsidRPr="002D49F9">
        <w:rPr>
          <w:rFonts w:eastAsia="Times New Roman"/>
          <w:bCs/>
          <w:lang w:val="sr-Cyrl-BA" w:eastAsia="sr-Latn-CS"/>
        </w:rPr>
        <w:t xml:space="preserve"> надзор</w:t>
      </w:r>
      <w:r w:rsidR="006B6E0C" w:rsidRPr="00704D5B">
        <w:rPr>
          <w:rFonts w:eastAsia="Times New Roman"/>
          <w:bCs/>
          <w:lang w:val="sr-Cyrl-BA" w:eastAsia="sr-Latn-CS"/>
        </w:rPr>
        <w:t xml:space="preserve">. </w:t>
      </w:r>
    </w:p>
    <w:p w14:paraId="2C3323E1" w14:textId="2B9EFE0A" w:rsidR="006B6E0C" w:rsidRPr="006B6E0C" w:rsidRDefault="007955CF" w:rsidP="00A2091B">
      <w:pPr>
        <w:spacing w:line="240" w:lineRule="auto"/>
        <w:ind w:firstLine="0"/>
        <w:jc w:val="center"/>
        <w:rPr>
          <w:b/>
          <w:lang w:val="sr-Cyrl-BA"/>
        </w:rPr>
      </w:pPr>
      <w:r>
        <w:rPr>
          <w:noProof/>
        </w:rPr>
        <w:lastRenderedPageBreak/>
        <w:drawing>
          <wp:inline distT="0" distB="0" distL="0" distR="0" wp14:anchorId="0D847F55" wp14:editId="42C008A3">
            <wp:extent cx="4572000" cy="2743200"/>
            <wp:effectExtent l="0" t="0" r="0" b="0"/>
            <wp:docPr id="3" name="Chart 7">
              <a:extLst xmlns:a="http://schemas.openxmlformats.org/drawingml/2006/main">
                <a:ext uri="{FF2B5EF4-FFF2-40B4-BE49-F238E27FC236}">
                  <a16:creationId xmlns:a16="http://schemas.microsoft.com/office/drawing/2014/main" id="{688BF9D0-D608-48D9-8639-2CBA021E82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F42AD5" w14:textId="02156353" w:rsidR="006B6E0C" w:rsidRPr="006B6E0C" w:rsidRDefault="00A2091B" w:rsidP="006B6E0C">
      <w:pPr>
        <w:pStyle w:val="Caption"/>
        <w:tabs>
          <w:tab w:val="left" w:pos="1276"/>
        </w:tabs>
        <w:spacing w:after="0"/>
        <w:ind w:left="1276" w:hanging="1276"/>
        <w:jc w:val="both"/>
        <w:rPr>
          <w:rFonts w:ascii="Times New Roman" w:hAnsi="Times New Roman"/>
          <w:sz w:val="24"/>
          <w:szCs w:val="24"/>
          <w:lang w:val="sr-Cyrl-BA"/>
        </w:rPr>
      </w:pPr>
      <w:r w:rsidRPr="005B1E90">
        <w:rPr>
          <w:rFonts w:ascii="Times New Roman" w:hAnsi="Times New Roman"/>
          <w:sz w:val="24"/>
          <w:szCs w:val="24"/>
          <w:lang w:val="sr-Cyrl-BA"/>
        </w:rPr>
        <w:t xml:space="preserve">Слика </w:t>
      </w:r>
      <w:r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Pr="005B1E90">
        <w:rPr>
          <w:rFonts w:ascii="Times New Roman" w:hAnsi="Times New Roman"/>
          <w:sz w:val="24"/>
          <w:szCs w:val="24"/>
          <w:lang w:val="sr-Cyrl-BA"/>
        </w:rPr>
        <w:fldChar w:fldCharType="separate"/>
      </w:r>
      <w:r w:rsidR="00C64B5B">
        <w:rPr>
          <w:rFonts w:ascii="Times New Roman" w:hAnsi="Times New Roman"/>
          <w:noProof/>
          <w:sz w:val="24"/>
          <w:szCs w:val="24"/>
          <w:lang w:val="sr-Cyrl-BA"/>
        </w:rPr>
        <w:t>3</w:t>
      </w:r>
      <w:r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006B6E0C" w:rsidRPr="006B6E0C">
        <w:rPr>
          <w:rFonts w:ascii="Times New Roman" w:hAnsi="Times New Roman"/>
          <w:sz w:val="24"/>
          <w:szCs w:val="24"/>
          <w:lang w:val="sr-Cyrl-BA"/>
        </w:rPr>
        <w:tab/>
      </w:r>
      <w:r w:rsidR="006B6E0C" w:rsidRPr="006B6E0C">
        <w:rPr>
          <w:rFonts w:ascii="Times New Roman" w:hAnsi="Times New Roman"/>
          <w:b w:val="0"/>
          <w:sz w:val="24"/>
          <w:szCs w:val="24"/>
          <w:lang w:val="sr-Cyrl-BA"/>
        </w:rPr>
        <w:t xml:space="preserve">Надзорне активности према врсти надзора у </w:t>
      </w:r>
      <w:r w:rsidR="003D08FA">
        <w:rPr>
          <w:rFonts w:ascii="Times New Roman" w:hAnsi="Times New Roman"/>
          <w:b w:val="0"/>
          <w:sz w:val="24"/>
          <w:szCs w:val="24"/>
          <w:lang w:val="sr-Cyrl-BA"/>
        </w:rPr>
        <w:t>2023</w:t>
      </w:r>
      <w:r w:rsidR="006B6E0C" w:rsidRPr="006B6E0C">
        <w:rPr>
          <w:rFonts w:ascii="Times New Roman" w:hAnsi="Times New Roman"/>
          <w:b w:val="0"/>
          <w:sz w:val="24"/>
          <w:szCs w:val="24"/>
          <w:lang w:val="sr-Cyrl-BA"/>
        </w:rPr>
        <w:t>. години</w:t>
      </w:r>
    </w:p>
    <w:p w14:paraId="49B861C6" w14:textId="77777777" w:rsidR="00EF2179" w:rsidRPr="002D49F9" w:rsidRDefault="00EF2179" w:rsidP="00EF2179">
      <w:pPr>
        <w:spacing w:line="240" w:lineRule="auto"/>
        <w:ind w:firstLine="567"/>
        <w:rPr>
          <w:lang w:val="sr-Cyrl-BA"/>
        </w:rPr>
      </w:pPr>
      <w:r w:rsidRPr="002D49F9">
        <w:rPr>
          <w:lang w:val="sr-Cyrl-BA"/>
        </w:rPr>
        <w:t>Када утврди незаконитости и неправилности којима се угрожава функционисање тржишта капитала у цјелини, положај појединих учесника на тржишту капитала или постоји могућност наношења значајније штете, Комисија је Законом о тржишту овлашћена на предузимање неке од прописаних надзорних мјера</w:t>
      </w:r>
      <w:r w:rsidRPr="002D49F9">
        <w:rPr>
          <w:rStyle w:val="FootnoteReference"/>
          <w:lang w:val="sr-Cyrl-BA"/>
        </w:rPr>
        <w:footnoteReference w:id="36"/>
      </w:r>
      <w:r w:rsidRPr="002D49F9">
        <w:rPr>
          <w:lang w:val="sr-Cyrl-BA"/>
        </w:rPr>
        <w:t>. У случају утврђених незаконитости и неправилности Комисија рјешењем налаже предузимање радњи које доприносе успостављању законитости и усклађивању рада са законима и другим прописима, односно изриче одговарајућу мјеру прописану Законом о тржишту и другим законима</w:t>
      </w:r>
      <w:r w:rsidRPr="002D49F9">
        <w:rPr>
          <w:rStyle w:val="FootnoteReference"/>
          <w:lang w:val="sr-Cyrl-BA"/>
        </w:rPr>
        <w:footnoteReference w:id="37"/>
      </w:r>
      <w:r w:rsidRPr="002D49F9">
        <w:rPr>
          <w:lang w:val="sr-Cyrl-BA"/>
        </w:rPr>
        <w:t>, а у случајевима кршења прописа или у случајевима када је неизвјестан наставак пословања надзираног лица, рјешењем Комисије могу се наложити одређене посебне мјере</w:t>
      </w:r>
      <w:r w:rsidRPr="002D49F9">
        <w:rPr>
          <w:rStyle w:val="FootnoteReference"/>
          <w:lang w:val="sr-Cyrl-BA"/>
        </w:rPr>
        <w:footnoteReference w:id="38"/>
      </w:r>
      <w:r w:rsidRPr="002D49F9">
        <w:rPr>
          <w:lang w:val="sr-Cyrl-BA"/>
        </w:rPr>
        <w:t xml:space="preserve">. </w:t>
      </w:r>
    </w:p>
    <w:p w14:paraId="33762F04" w14:textId="5C183473" w:rsidR="00704D5B" w:rsidRDefault="003D08FA" w:rsidP="003D08FA">
      <w:pPr>
        <w:rPr>
          <w:lang w:val="sr-Cyrl-BA"/>
        </w:rPr>
      </w:pPr>
      <w:r w:rsidRPr="00656CB1">
        <w:rPr>
          <w:lang w:val="sr-Cyrl-BA"/>
        </w:rPr>
        <w:t>Комисија је у току 2023. године изрекла једну мјеру у оквиру својих овлашћења из члана 265. Закона о тржишту хартија од вриједности, а која се односи на отклањање  утврђених незаконитости и неправилности у поступку ванредног надзора, те је вези са истим поступком у извјештајном периоду изрекла једну мјере у оквиру својих овлашћења из члана 266. Закона о тржишту хартија од вриједности због кршења одредби Закона о тржишту хартија од вриједности</w:t>
      </w:r>
      <w:r w:rsidR="00704D5B" w:rsidRPr="00704D5B">
        <w:rPr>
          <w:lang w:val="sr-Cyrl-BA"/>
        </w:rPr>
        <w:t xml:space="preserve">.  </w:t>
      </w:r>
    </w:p>
    <w:p w14:paraId="27A0F473" w14:textId="20FDEDB3" w:rsidR="007955CF" w:rsidRDefault="007955CF" w:rsidP="003D08FA">
      <w:pPr>
        <w:rPr>
          <w:lang w:val="sr-Cyrl-BA"/>
        </w:rPr>
      </w:pPr>
    </w:p>
    <w:p w14:paraId="48949E3B" w14:textId="28F2CDAD" w:rsidR="007955CF" w:rsidRDefault="007955CF" w:rsidP="003D08FA">
      <w:pPr>
        <w:rPr>
          <w:lang w:val="sr-Cyrl-BA"/>
        </w:rPr>
      </w:pPr>
    </w:p>
    <w:p w14:paraId="05C920BF" w14:textId="18CF964C" w:rsidR="007955CF" w:rsidRDefault="007955CF" w:rsidP="003D08FA">
      <w:pPr>
        <w:rPr>
          <w:lang w:val="sr-Cyrl-BA"/>
        </w:rPr>
      </w:pPr>
    </w:p>
    <w:p w14:paraId="6EC5A9FD" w14:textId="7D0C8B9F" w:rsidR="007955CF" w:rsidRDefault="007955CF" w:rsidP="003D08FA">
      <w:pPr>
        <w:rPr>
          <w:lang w:val="sr-Cyrl-BA"/>
        </w:rPr>
      </w:pPr>
    </w:p>
    <w:p w14:paraId="65554D91" w14:textId="77777777" w:rsidR="007955CF" w:rsidRDefault="007955CF" w:rsidP="003D08FA">
      <w:pPr>
        <w:rPr>
          <w:lang w:val="sr-Cyrl-BA"/>
        </w:rPr>
      </w:pPr>
    </w:p>
    <w:p w14:paraId="38851373" w14:textId="5BB3786A" w:rsidR="009628CE" w:rsidRPr="00EC6422" w:rsidRDefault="005957AD" w:rsidP="003D4CF2">
      <w:pPr>
        <w:pStyle w:val="Heading1"/>
        <w:shd w:val="clear" w:color="auto" w:fill="auto"/>
        <w:spacing w:before="360" w:line="240" w:lineRule="auto"/>
        <w:ind w:left="567" w:hanging="567"/>
        <w:rPr>
          <w:rFonts w:ascii="Times New Roman" w:hAnsi="Times New Roman"/>
          <w:caps w:val="0"/>
          <w:color w:val="002060"/>
          <w:lang w:val="sr-Cyrl-BA"/>
        </w:rPr>
      </w:pPr>
      <w:bookmarkStart w:id="87" w:name="_Toc321408919"/>
      <w:bookmarkStart w:id="88" w:name="_Toc167960441"/>
      <w:r w:rsidRPr="003D4CF2">
        <w:rPr>
          <w:rFonts w:ascii="Times New Roman" w:hAnsi="Times New Roman"/>
          <w:caps w:val="0"/>
          <w:color w:val="002060"/>
          <w:lang w:val="sr-Cyrl-BA"/>
        </w:rPr>
        <w:lastRenderedPageBreak/>
        <w:t>ЕДУКАЦИЈА</w:t>
      </w:r>
      <w:bookmarkEnd w:id="87"/>
      <w:bookmarkEnd w:id="88"/>
    </w:p>
    <w:p w14:paraId="26AEE2EA" w14:textId="61B99F8D" w:rsidR="00875596" w:rsidRDefault="009628CE" w:rsidP="00875596">
      <w:pPr>
        <w:spacing w:line="240" w:lineRule="auto"/>
        <w:ind w:firstLine="567"/>
        <w:rPr>
          <w:lang w:val="sr-Cyrl-BA"/>
        </w:rPr>
      </w:pPr>
      <w:r w:rsidRPr="00EC6422">
        <w:rPr>
          <w:lang w:val="sr-Cyrl-BA"/>
        </w:rPr>
        <w:t>Присуством семинарима, конференцијама и округлим столовима извршена је даља едукација и специјализација чланова и стручних сарадника Комисије по појединим областима.</w:t>
      </w:r>
    </w:p>
    <w:tbl>
      <w:tblPr>
        <w:tblStyle w:val="LightGrid-Accent1"/>
        <w:tblW w:w="9913" w:type="dxa"/>
        <w:jc w:val="center"/>
        <w:tblLook w:val="04A0" w:firstRow="1" w:lastRow="0" w:firstColumn="1" w:lastColumn="0" w:noHBand="0" w:noVBand="1"/>
      </w:tblPr>
      <w:tblGrid>
        <w:gridCol w:w="705"/>
        <w:gridCol w:w="1931"/>
        <w:gridCol w:w="3431"/>
        <w:gridCol w:w="1717"/>
        <w:gridCol w:w="2129"/>
      </w:tblGrid>
      <w:tr w:rsidR="00875596" w:rsidRPr="007955CF" w14:paraId="70FCEBBB" w14:textId="77777777" w:rsidTr="0041052D">
        <w:trPr>
          <w:cnfStyle w:val="100000000000" w:firstRow="1" w:lastRow="0" w:firstColumn="0" w:lastColumn="0" w:oddVBand="0" w:evenVBand="0" w:oddHBand="0"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705" w:type="dxa"/>
          </w:tcPr>
          <w:p w14:paraId="2E85DDE5" w14:textId="7A8D936A" w:rsidR="00875596" w:rsidRPr="007955CF" w:rsidRDefault="00875596" w:rsidP="007955CF">
            <w:pPr>
              <w:spacing w:after="0" w:line="240" w:lineRule="auto"/>
              <w:ind w:firstLine="0"/>
              <w:rPr>
                <w:rFonts w:ascii="Times New Roman" w:hAnsi="Times New Roman" w:cs="Times New Roman"/>
                <w:sz w:val="20"/>
                <w:szCs w:val="20"/>
                <w:lang w:val="sr-Cyrl-BA"/>
              </w:rPr>
            </w:pPr>
            <w:r w:rsidRPr="007955CF">
              <w:rPr>
                <w:rFonts w:ascii="Times New Roman" w:hAnsi="Times New Roman" w:cs="Times New Roman"/>
                <w:sz w:val="20"/>
                <w:szCs w:val="20"/>
                <w:lang w:val="sr-Cyrl-BA"/>
              </w:rPr>
              <w:t>Р.</w:t>
            </w:r>
            <w:r w:rsidR="007955CF">
              <w:rPr>
                <w:rFonts w:ascii="Times New Roman" w:hAnsi="Times New Roman" w:cs="Times New Roman"/>
                <w:sz w:val="20"/>
                <w:szCs w:val="20"/>
                <w:lang w:val="sr-Latn-BA"/>
              </w:rPr>
              <w:t xml:space="preserve"> </w:t>
            </w:r>
            <w:r w:rsidRPr="007955CF">
              <w:rPr>
                <w:rFonts w:ascii="Times New Roman" w:hAnsi="Times New Roman" w:cs="Times New Roman"/>
                <w:sz w:val="20"/>
                <w:szCs w:val="20"/>
                <w:lang w:val="sr-Cyrl-BA"/>
              </w:rPr>
              <w:t>бр.</w:t>
            </w:r>
          </w:p>
        </w:tc>
        <w:tc>
          <w:tcPr>
            <w:tcW w:w="1931" w:type="dxa"/>
          </w:tcPr>
          <w:p w14:paraId="609E70E2" w14:textId="77777777" w:rsidR="00875596" w:rsidRPr="007955CF" w:rsidRDefault="00875596" w:rsidP="0041052D">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Cyrl-BA"/>
              </w:rPr>
            </w:pPr>
            <w:r w:rsidRPr="007955CF">
              <w:rPr>
                <w:rFonts w:ascii="Times New Roman" w:hAnsi="Times New Roman" w:cs="Times New Roman"/>
                <w:sz w:val="20"/>
                <w:szCs w:val="20"/>
                <w:lang w:val="sr-Cyrl-BA"/>
              </w:rPr>
              <w:t>Активности</w:t>
            </w:r>
          </w:p>
        </w:tc>
        <w:tc>
          <w:tcPr>
            <w:tcW w:w="3431" w:type="dxa"/>
          </w:tcPr>
          <w:p w14:paraId="395D6E03" w14:textId="77777777" w:rsidR="00875596" w:rsidRPr="007955CF" w:rsidRDefault="00875596" w:rsidP="0041052D">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Cyrl-BA"/>
              </w:rPr>
            </w:pPr>
            <w:r w:rsidRPr="007955CF">
              <w:rPr>
                <w:rFonts w:ascii="Times New Roman" w:hAnsi="Times New Roman" w:cs="Times New Roman"/>
                <w:sz w:val="20"/>
                <w:szCs w:val="20"/>
                <w:lang w:val="sr-Cyrl-BA"/>
              </w:rPr>
              <w:t>Теме</w:t>
            </w:r>
          </w:p>
        </w:tc>
        <w:tc>
          <w:tcPr>
            <w:tcW w:w="1717" w:type="dxa"/>
          </w:tcPr>
          <w:p w14:paraId="50522FBF" w14:textId="77777777" w:rsidR="00875596" w:rsidRPr="007955CF" w:rsidRDefault="00875596" w:rsidP="0041052D">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Cyrl-BA"/>
              </w:rPr>
            </w:pPr>
            <w:r w:rsidRPr="007955CF">
              <w:rPr>
                <w:rFonts w:ascii="Times New Roman" w:hAnsi="Times New Roman" w:cs="Times New Roman"/>
                <w:sz w:val="20"/>
                <w:szCs w:val="20"/>
                <w:lang w:val="sr-Cyrl-BA"/>
              </w:rPr>
              <w:t>Организатор</w:t>
            </w:r>
          </w:p>
        </w:tc>
        <w:tc>
          <w:tcPr>
            <w:tcW w:w="2129" w:type="dxa"/>
          </w:tcPr>
          <w:p w14:paraId="7BFE973D" w14:textId="77777777" w:rsidR="00875596" w:rsidRPr="007955CF" w:rsidRDefault="00875596" w:rsidP="0041052D">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Cyrl-BA"/>
              </w:rPr>
            </w:pPr>
            <w:r w:rsidRPr="007955CF">
              <w:rPr>
                <w:rFonts w:ascii="Times New Roman" w:hAnsi="Times New Roman" w:cs="Times New Roman"/>
                <w:sz w:val="20"/>
                <w:szCs w:val="20"/>
                <w:lang w:val="sr-Cyrl-BA"/>
              </w:rPr>
              <w:t>Предавач</w:t>
            </w:r>
          </w:p>
        </w:tc>
      </w:tr>
      <w:tr w:rsidR="00875596" w:rsidRPr="005373B3" w14:paraId="28003F3A" w14:textId="77777777" w:rsidTr="0041052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705" w:type="dxa"/>
          </w:tcPr>
          <w:p w14:paraId="31EC466B"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w:t>
            </w:r>
          </w:p>
        </w:tc>
        <w:tc>
          <w:tcPr>
            <w:tcW w:w="1931" w:type="dxa"/>
          </w:tcPr>
          <w:p w14:paraId="5056367C"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Cyrl-BA"/>
              </w:rPr>
            </w:pPr>
            <w:r w:rsidRPr="00E564A8">
              <w:rPr>
                <w:rStyle w:val="BookTitle"/>
                <w:b w:val="0"/>
                <w:bCs w:val="0"/>
                <w:i w:val="0"/>
                <w:iCs w:val="0"/>
                <w:sz w:val="20"/>
                <w:szCs w:val="20"/>
                <w:lang w:val="sr-Cyrl-BA"/>
              </w:rPr>
              <w:t xml:space="preserve">САВЈЕТОВАЊЕ ИЗ </w:t>
            </w:r>
          </w:p>
          <w:p w14:paraId="1675150E"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Cyrl-BA"/>
              </w:rPr>
            </w:pPr>
            <w:r w:rsidRPr="00E564A8">
              <w:rPr>
                <w:rStyle w:val="BookTitle"/>
                <w:b w:val="0"/>
                <w:bCs w:val="0"/>
                <w:i w:val="0"/>
                <w:iCs w:val="0"/>
                <w:sz w:val="20"/>
                <w:szCs w:val="20"/>
                <w:lang w:val="sr-Cyrl-BA"/>
              </w:rPr>
              <w:t xml:space="preserve">ЈАВНИХ НАБАВКИ </w:t>
            </w:r>
          </w:p>
          <w:p w14:paraId="24B5840B"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Cyrl-BA"/>
              </w:rPr>
            </w:pPr>
            <w:r w:rsidRPr="00E564A8">
              <w:rPr>
                <w:rStyle w:val="BookTitle"/>
                <w:b w:val="0"/>
                <w:bCs w:val="0"/>
                <w:i w:val="0"/>
                <w:iCs w:val="0"/>
                <w:sz w:val="20"/>
                <w:szCs w:val="20"/>
                <w:lang w:val="sr-Cyrl-BA"/>
              </w:rPr>
              <w:t xml:space="preserve">17.2.2023. </w:t>
            </w:r>
            <w:r w:rsidRPr="00E564A8">
              <w:rPr>
                <w:b/>
                <w:bCs/>
                <w:i/>
                <w:iCs/>
                <w:sz w:val="20"/>
                <w:szCs w:val="20"/>
                <w:lang w:val="sr-Cyrl-BA"/>
              </w:rPr>
              <w:t xml:space="preserve"> </w:t>
            </w:r>
            <w:r w:rsidRPr="00E564A8">
              <w:rPr>
                <w:rStyle w:val="BookTitle"/>
                <w:b w:val="0"/>
                <w:bCs w:val="0"/>
                <w:i w:val="0"/>
                <w:iCs w:val="0"/>
                <w:sz w:val="20"/>
                <w:szCs w:val="20"/>
                <w:lang w:val="sr-Cyrl-BA"/>
              </w:rPr>
              <w:t>ХОТЕЛ „ЈЕЛЕНА“ -  БАЊА ЛУКА</w:t>
            </w:r>
          </w:p>
          <w:p w14:paraId="6297582F"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p>
        </w:tc>
        <w:tc>
          <w:tcPr>
            <w:tcW w:w="3431" w:type="dxa"/>
          </w:tcPr>
          <w:p w14:paraId="631EFA22"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Одговорност уговорних органа и понуђача у процесу реализације, новине у јавним набавкама, примјери добре и лоше праксе</w:t>
            </w:r>
          </w:p>
        </w:tc>
        <w:tc>
          <w:tcPr>
            <w:tcW w:w="1717" w:type="dxa"/>
          </w:tcPr>
          <w:p w14:paraId="366EDC3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Cyrl-BA"/>
              </w:rPr>
            </w:pPr>
            <w:r w:rsidRPr="00E564A8">
              <w:rPr>
                <w:bCs/>
                <w:w w:val="107"/>
                <w:sz w:val="20"/>
                <w:szCs w:val="20"/>
                <w:lang w:val="sr-Cyrl-BA"/>
              </w:rPr>
              <w:t xml:space="preserve">АПКЕ - Агенција за правни </w:t>
            </w:r>
            <w:proofErr w:type="spellStart"/>
            <w:r w:rsidRPr="00E564A8">
              <w:rPr>
                <w:bCs/>
                <w:w w:val="107"/>
                <w:sz w:val="20"/>
                <w:szCs w:val="20"/>
                <w:lang w:val="sr-Cyrl-BA"/>
              </w:rPr>
              <w:t>консалтинг</w:t>
            </w:r>
            <w:proofErr w:type="spellEnd"/>
            <w:r w:rsidRPr="00E564A8">
              <w:rPr>
                <w:bCs/>
                <w:w w:val="107"/>
                <w:sz w:val="20"/>
                <w:szCs w:val="20"/>
                <w:lang w:val="sr-Cyrl-BA"/>
              </w:rPr>
              <w:t xml:space="preserve"> и едукацију Сарајево</w:t>
            </w:r>
          </w:p>
        </w:tc>
        <w:tc>
          <w:tcPr>
            <w:tcW w:w="2129" w:type="dxa"/>
          </w:tcPr>
          <w:p w14:paraId="560413F5"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 xml:space="preserve">- Наташа </w:t>
            </w:r>
            <w:proofErr w:type="spellStart"/>
            <w:r w:rsidRPr="00E564A8">
              <w:rPr>
                <w:bCs/>
                <w:sz w:val="20"/>
                <w:szCs w:val="20"/>
                <w:lang w:val="sr-Cyrl-BA"/>
              </w:rPr>
              <w:t>Голић</w:t>
            </w:r>
            <w:proofErr w:type="spellEnd"/>
            <w:r w:rsidRPr="00E564A8">
              <w:rPr>
                <w:bCs/>
                <w:sz w:val="20"/>
                <w:szCs w:val="20"/>
                <w:lang w:val="sr-Cyrl-BA"/>
              </w:rPr>
              <w:t xml:space="preserve"> Члан УРЖ-а, цертифицирани тренер Агенције за јавне набавке БиХ</w:t>
            </w:r>
          </w:p>
          <w:p w14:paraId="757E8B3F"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 xml:space="preserve">-Дражен Видаковић, </w:t>
            </w:r>
            <w:proofErr w:type="spellStart"/>
            <w:r w:rsidRPr="00E564A8">
              <w:rPr>
                <w:bCs/>
                <w:sz w:val="20"/>
                <w:szCs w:val="20"/>
                <w:lang w:val="sr-Cyrl-BA"/>
              </w:rPr>
              <w:t>дипл.иур</w:t>
            </w:r>
            <w:proofErr w:type="spellEnd"/>
            <w:r w:rsidRPr="00E564A8">
              <w:rPr>
                <w:bCs/>
                <w:sz w:val="20"/>
                <w:szCs w:val="20"/>
                <w:lang w:val="sr-Cyrl-BA"/>
              </w:rPr>
              <w:t>. Агенција за јавне набавке БиХ</w:t>
            </w:r>
          </w:p>
          <w:p w14:paraId="12B0E9A6"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 xml:space="preserve">-Кемал </w:t>
            </w:r>
            <w:proofErr w:type="spellStart"/>
            <w:r w:rsidRPr="00E564A8">
              <w:rPr>
                <w:bCs/>
                <w:sz w:val="20"/>
                <w:szCs w:val="20"/>
                <w:lang w:val="sr-Cyrl-BA"/>
              </w:rPr>
              <w:t>Мухамедовић</w:t>
            </w:r>
            <w:proofErr w:type="spellEnd"/>
            <w:r w:rsidRPr="00E564A8">
              <w:rPr>
                <w:bCs/>
                <w:sz w:val="20"/>
                <w:szCs w:val="20"/>
                <w:lang w:val="sr-Cyrl-BA"/>
              </w:rPr>
              <w:t xml:space="preserve">, дипл. </w:t>
            </w:r>
            <w:proofErr w:type="spellStart"/>
            <w:r w:rsidRPr="00E564A8">
              <w:rPr>
                <w:bCs/>
                <w:sz w:val="20"/>
                <w:szCs w:val="20"/>
                <w:lang w:val="sr-Cyrl-BA"/>
              </w:rPr>
              <w:t>оец</w:t>
            </w:r>
            <w:proofErr w:type="spellEnd"/>
          </w:p>
        </w:tc>
      </w:tr>
      <w:tr w:rsidR="00875596" w:rsidRPr="005373B3" w14:paraId="56BEA533" w14:textId="77777777" w:rsidTr="0041052D">
        <w:trPr>
          <w:cnfStyle w:val="000000010000" w:firstRow="0" w:lastRow="0" w:firstColumn="0" w:lastColumn="0" w:oddVBand="0" w:evenVBand="0" w:oddHBand="0" w:evenHBand="1"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705" w:type="dxa"/>
          </w:tcPr>
          <w:p w14:paraId="2C865735"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2.</w:t>
            </w:r>
          </w:p>
        </w:tc>
        <w:tc>
          <w:tcPr>
            <w:tcW w:w="1931" w:type="dxa"/>
          </w:tcPr>
          <w:p w14:paraId="38CC5C81"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Webex webinar: SEC’s Virtual International Institute for 2023</w:t>
            </w:r>
          </w:p>
          <w:p w14:paraId="130588F3"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23.</w:t>
            </w:r>
            <w:proofErr w:type="gramStart"/>
            <w:r w:rsidRPr="00E564A8">
              <w:rPr>
                <w:sz w:val="20"/>
                <w:szCs w:val="20"/>
              </w:rPr>
              <w:t>03.2023.godine</w:t>
            </w:r>
            <w:proofErr w:type="gramEnd"/>
          </w:p>
        </w:tc>
        <w:tc>
          <w:tcPr>
            <w:tcW w:w="3431" w:type="dxa"/>
          </w:tcPr>
          <w:p w14:paraId="56637BB6"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rPr>
            </w:pPr>
            <w:r w:rsidRPr="00E564A8">
              <w:rPr>
                <w:sz w:val="20"/>
                <w:szCs w:val="20"/>
              </w:rPr>
              <w:t>Crypto Asset Market Developments</w:t>
            </w:r>
          </w:p>
        </w:tc>
        <w:tc>
          <w:tcPr>
            <w:tcW w:w="1717" w:type="dxa"/>
          </w:tcPr>
          <w:p w14:paraId="418DE01D"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w w:val="107"/>
                <w:sz w:val="20"/>
                <w:szCs w:val="20"/>
              </w:rPr>
            </w:pPr>
            <w:r w:rsidRPr="00E564A8">
              <w:rPr>
                <w:sz w:val="20"/>
                <w:szCs w:val="20"/>
              </w:rPr>
              <w:t>U.S. Securities and Exchange Commission</w:t>
            </w:r>
            <w:r w:rsidRPr="00E564A8">
              <w:rPr>
                <w:w w:val="107"/>
                <w:sz w:val="20"/>
                <w:szCs w:val="20"/>
              </w:rPr>
              <w:t xml:space="preserve"> (SEC)</w:t>
            </w:r>
          </w:p>
        </w:tc>
        <w:tc>
          <w:tcPr>
            <w:tcW w:w="2129" w:type="dxa"/>
          </w:tcPr>
          <w:p w14:paraId="7ADBA10F"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sz w:val="20"/>
                <w:szCs w:val="20"/>
              </w:rPr>
            </w:pPr>
            <w:r w:rsidRPr="00E564A8">
              <w:rPr>
                <w:sz w:val="20"/>
                <w:szCs w:val="20"/>
              </w:rPr>
              <w:t>Valerie A. Szczepanik, Director of the Strategic Hub for Innovation and Financial Technology</w:t>
            </w:r>
          </w:p>
        </w:tc>
      </w:tr>
      <w:tr w:rsidR="00875596" w:rsidRPr="005373B3" w14:paraId="74B638F9"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26DA426D"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3.</w:t>
            </w:r>
          </w:p>
        </w:tc>
        <w:tc>
          <w:tcPr>
            <w:tcW w:w="1931" w:type="dxa"/>
          </w:tcPr>
          <w:p w14:paraId="1E3311C3"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Савјетовање из Јавних набавки</w:t>
            </w:r>
          </w:p>
          <w:p w14:paraId="283D283A"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Башка Вода 12.-14.04.2023.године</w:t>
            </w:r>
          </w:p>
        </w:tc>
        <w:tc>
          <w:tcPr>
            <w:tcW w:w="3431" w:type="dxa"/>
          </w:tcPr>
          <w:p w14:paraId="4D3D105C"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Закон о измјена И допунама Закона о јавним набавкама</w:t>
            </w:r>
          </w:p>
          <w:p w14:paraId="3AA98AB7"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Циклус набавке</w:t>
            </w:r>
          </w:p>
          <w:p w14:paraId="153B5A89"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Рјешавање проблема приказа ЗЈН</w:t>
            </w:r>
          </w:p>
          <w:p w14:paraId="210CFB42"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Измјене у осталим поступцима набавки</w:t>
            </w:r>
          </w:p>
          <w:p w14:paraId="0A0FE361"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Правна заштита у поступцима јавних набавки</w:t>
            </w:r>
          </w:p>
        </w:tc>
        <w:tc>
          <w:tcPr>
            <w:tcW w:w="1717" w:type="dxa"/>
          </w:tcPr>
          <w:p w14:paraId="1E92AFE5"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Cyrl-BA"/>
              </w:rPr>
            </w:pPr>
            <w:proofErr w:type="spellStart"/>
            <w:r w:rsidRPr="00E564A8">
              <w:rPr>
                <w:bCs/>
                <w:w w:val="107"/>
                <w:sz w:val="20"/>
                <w:szCs w:val="20"/>
                <w:lang w:val="sr-Cyrl-BA"/>
              </w:rPr>
              <w:t>Квентум</w:t>
            </w:r>
            <w:proofErr w:type="spellEnd"/>
            <w:r w:rsidRPr="00E564A8">
              <w:rPr>
                <w:bCs/>
                <w:w w:val="107"/>
                <w:sz w:val="20"/>
                <w:szCs w:val="20"/>
                <w:lang w:val="sr-Cyrl-BA"/>
              </w:rPr>
              <w:t xml:space="preserve"> – Пословно едукативни центар</w:t>
            </w:r>
          </w:p>
        </w:tc>
        <w:tc>
          <w:tcPr>
            <w:tcW w:w="2129" w:type="dxa"/>
          </w:tcPr>
          <w:p w14:paraId="7C72ABBF" w14:textId="77777777" w:rsidR="00875596" w:rsidRPr="007955CF"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7955CF">
              <w:rPr>
                <w:bCs/>
                <w:sz w:val="20"/>
                <w:szCs w:val="20"/>
                <w:lang w:val="sr-Cyrl-BA"/>
              </w:rPr>
              <w:t xml:space="preserve">Јосип Липовац,-Међународни мастер управљања јавним набавкама </w:t>
            </w:r>
          </w:p>
          <w:p w14:paraId="5633AA22" w14:textId="77777777" w:rsidR="00875596" w:rsidRPr="007955CF"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7955CF">
              <w:rPr>
                <w:bCs/>
                <w:sz w:val="20"/>
                <w:szCs w:val="20"/>
                <w:lang w:val="sr-Cyrl-BA"/>
              </w:rPr>
              <w:t xml:space="preserve">Ивана </w:t>
            </w:r>
            <w:proofErr w:type="spellStart"/>
            <w:r w:rsidRPr="007955CF">
              <w:rPr>
                <w:bCs/>
                <w:sz w:val="20"/>
                <w:szCs w:val="20"/>
                <w:lang w:val="sr-Cyrl-BA"/>
              </w:rPr>
              <w:t>Гргић</w:t>
            </w:r>
            <w:proofErr w:type="spellEnd"/>
            <w:r w:rsidRPr="007955CF">
              <w:rPr>
                <w:bCs/>
                <w:sz w:val="20"/>
                <w:szCs w:val="20"/>
                <w:lang w:val="sr-Cyrl-BA"/>
              </w:rPr>
              <w:t>,-Овлашћени предавач за јавне набавке у БиХ</w:t>
            </w:r>
          </w:p>
          <w:p w14:paraId="44C28006" w14:textId="5D488071" w:rsidR="00875596" w:rsidRPr="007955CF"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7955CF">
              <w:rPr>
                <w:bCs/>
                <w:sz w:val="20"/>
                <w:szCs w:val="20"/>
                <w:lang w:val="sr-Cyrl-BA"/>
              </w:rPr>
              <w:t>Бојана Ждрале,-Овлаштени предавач за јавне набавке</w:t>
            </w:r>
          </w:p>
        </w:tc>
      </w:tr>
      <w:tr w:rsidR="00875596" w:rsidRPr="005373B3" w14:paraId="329DCA37"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0DB49DA6"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4.</w:t>
            </w:r>
          </w:p>
        </w:tc>
        <w:tc>
          <w:tcPr>
            <w:tcW w:w="1931" w:type="dxa"/>
          </w:tcPr>
          <w:p w14:paraId="6510A013"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proofErr w:type="spellStart"/>
            <w:r w:rsidRPr="00E564A8">
              <w:rPr>
                <w:sz w:val="20"/>
                <w:szCs w:val="20"/>
                <w:lang w:val="sr-Cyrl-BA"/>
              </w:rPr>
              <w:t>Јахорина</w:t>
            </w:r>
            <w:proofErr w:type="spellEnd"/>
            <w:r w:rsidRPr="00E564A8">
              <w:rPr>
                <w:sz w:val="20"/>
                <w:szCs w:val="20"/>
                <w:lang w:val="sr-Cyrl-BA"/>
              </w:rPr>
              <w:t xml:space="preserve"> економски форум 26.04-28.04.2023</w:t>
            </w:r>
          </w:p>
        </w:tc>
        <w:tc>
          <w:tcPr>
            <w:tcW w:w="3431" w:type="dxa"/>
          </w:tcPr>
          <w:p w14:paraId="49D9F0A3"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lang w:val="sr-Cyrl-BA"/>
              </w:rPr>
            </w:pPr>
            <w:r w:rsidRPr="00E564A8">
              <w:rPr>
                <w:rFonts w:eastAsiaTheme="majorEastAsia"/>
                <w:sz w:val="20"/>
                <w:szCs w:val="20"/>
                <w:lang w:val="sr-Cyrl-BA"/>
              </w:rPr>
              <w:t>Отворени Балкан, Енергетска транзиција, Тржиште некретнина, Инфлација, Спорт као бренд, Дигитализација у осигурању, Паметни градови итд.</w:t>
            </w:r>
          </w:p>
        </w:tc>
        <w:tc>
          <w:tcPr>
            <w:tcW w:w="1717" w:type="dxa"/>
          </w:tcPr>
          <w:p w14:paraId="48F18118"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20"/>
                <w:szCs w:val="20"/>
                <w:lang w:val="sr-Cyrl-BA"/>
              </w:rPr>
            </w:pPr>
            <w:r w:rsidRPr="00E564A8">
              <w:rPr>
                <w:bCs/>
                <w:w w:val="107"/>
                <w:sz w:val="20"/>
                <w:szCs w:val="20"/>
                <w:lang w:val="sr-Cyrl-BA"/>
              </w:rPr>
              <w:t>Привредна комора Бања Лука</w:t>
            </w:r>
          </w:p>
        </w:tc>
        <w:tc>
          <w:tcPr>
            <w:tcW w:w="2129" w:type="dxa"/>
          </w:tcPr>
          <w:p w14:paraId="73F2546D"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E564A8">
              <w:rPr>
                <w:bCs/>
                <w:sz w:val="20"/>
                <w:szCs w:val="20"/>
                <w:lang w:val="sr-Cyrl-BA"/>
              </w:rPr>
              <w:t>Представници привреде, локалне самоуправе, државних институција из БиХ и земаља окружења</w:t>
            </w:r>
          </w:p>
        </w:tc>
      </w:tr>
      <w:tr w:rsidR="00875596" w:rsidRPr="005373B3" w14:paraId="4579E3C0"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6A637A1E"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5.</w:t>
            </w:r>
          </w:p>
        </w:tc>
        <w:tc>
          <w:tcPr>
            <w:tcW w:w="1931" w:type="dxa"/>
          </w:tcPr>
          <w:p w14:paraId="0550BE73"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XВ Форуму СПН, ФТА и борба против корупције,</w:t>
            </w:r>
          </w:p>
          <w:p w14:paraId="05A6E453"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26. и 27.04.2023.</w:t>
            </w:r>
          </w:p>
        </w:tc>
        <w:tc>
          <w:tcPr>
            <w:tcW w:w="3431" w:type="dxa"/>
          </w:tcPr>
          <w:p w14:paraId="6E91ED83"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ПРИЈЕТЊЕ ОД ПРАЊЕ НОВЦА, ФИНАНСИРАЊА ТЕРОРИСТИЧКИХ АКТИВНОСТИ И КОРУПЦИЈА</w:t>
            </w:r>
          </w:p>
          <w:p w14:paraId="6F519E9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Нова национална процјена ризика и акциони план</w:t>
            </w:r>
          </w:p>
          <w:p w14:paraId="293F001F"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Нови Закон о СПН и ФТА</w:t>
            </w:r>
          </w:p>
          <w:p w14:paraId="70F46E50"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Утврђено стање у надзору субјеката у банкарском сектору везано за СПН и ФТА – препоруке за </w:t>
            </w:r>
            <w:proofErr w:type="spellStart"/>
            <w:r w:rsidRPr="00E564A8">
              <w:rPr>
                <w:sz w:val="20"/>
                <w:szCs w:val="20"/>
                <w:lang w:val="sr-Cyrl-BA"/>
              </w:rPr>
              <w:t>унапређење</w:t>
            </w:r>
            <w:proofErr w:type="spellEnd"/>
            <w:r w:rsidRPr="00E564A8">
              <w:rPr>
                <w:sz w:val="20"/>
                <w:szCs w:val="20"/>
                <w:lang w:val="sr-Cyrl-BA"/>
              </w:rPr>
              <w:t xml:space="preserve"> актуелне нормативне уређености и пракси</w:t>
            </w:r>
          </w:p>
          <w:p w14:paraId="6C38F715"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Регулирање виртуалне имовине</w:t>
            </w:r>
          </w:p>
          <w:p w14:paraId="606BE2ED"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Порезне преваре и евазија пореза у свјетлу ПН и ФТА</w:t>
            </w:r>
          </w:p>
          <w:p w14:paraId="25ED9982"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ТИПОЛОГИЈЕ ПРАЊА НОВЦА И ФИНАНСИРАЊА ТЕРОРИСТИЧКИХ АКТИВНОСТИ</w:t>
            </w:r>
          </w:p>
        </w:tc>
        <w:tc>
          <w:tcPr>
            <w:tcW w:w="1717" w:type="dxa"/>
          </w:tcPr>
          <w:p w14:paraId="2726C9EC"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Cyrl-BA"/>
              </w:rPr>
            </w:pPr>
            <w:r w:rsidRPr="00E564A8">
              <w:rPr>
                <w:w w:val="107"/>
                <w:sz w:val="20"/>
                <w:szCs w:val="20"/>
                <w:lang w:val="sr-Cyrl-BA"/>
              </w:rPr>
              <w:t>РЕВИЦОН</w:t>
            </w:r>
          </w:p>
        </w:tc>
        <w:tc>
          <w:tcPr>
            <w:tcW w:w="2129" w:type="dxa"/>
          </w:tcPr>
          <w:p w14:paraId="161D3755"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Един</w:t>
            </w:r>
            <w:proofErr w:type="spellEnd"/>
            <w:r w:rsidRPr="00E564A8">
              <w:rPr>
                <w:sz w:val="20"/>
                <w:szCs w:val="20"/>
                <w:lang w:val="sr-Cyrl-BA"/>
              </w:rPr>
              <w:t xml:space="preserve"> </w:t>
            </w:r>
            <w:proofErr w:type="spellStart"/>
            <w:r w:rsidRPr="00E564A8">
              <w:rPr>
                <w:sz w:val="20"/>
                <w:szCs w:val="20"/>
                <w:lang w:val="sr-Cyrl-BA"/>
              </w:rPr>
              <w:t>Јахић</w:t>
            </w:r>
            <w:proofErr w:type="spellEnd"/>
          </w:p>
          <w:p w14:paraId="79E06E20"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Фарис</w:t>
            </w:r>
            <w:proofErr w:type="spellEnd"/>
            <w:r w:rsidRPr="00E564A8">
              <w:rPr>
                <w:sz w:val="20"/>
                <w:szCs w:val="20"/>
                <w:lang w:val="sr-Cyrl-BA"/>
              </w:rPr>
              <w:t xml:space="preserve"> </w:t>
            </w:r>
            <w:proofErr w:type="spellStart"/>
            <w:r w:rsidRPr="00E564A8">
              <w:rPr>
                <w:sz w:val="20"/>
                <w:szCs w:val="20"/>
                <w:lang w:val="sr-Cyrl-BA"/>
              </w:rPr>
              <w:t>Богунић</w:t>
            </w:r>
            <w:proofErr w:type="spellEnd"/>
          </w:p>
          <w:p w14:paraId="31EDAEF2"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Биљана </w:t>
            </w:r>
            <w:proofErr w:type="spellStart"/>
            <w:r w:rsidRPr="00E564A8">
              <w:rPr>
                <w:sz w:val="20"/>
                <w:szCs w:val="20"/>
                <w:lang w:val="sr-Cyrl-BA"/>
              </w:rPr>
              <w:t>Јоветић</w:t>
            </w:r>
            <w:proofErr w:type="spellEnd"/>
            <w:r w:rsidRPr="00E564A8">
              <w:rPr>
                <w:sz w:val="20"/>
                <w:szCs w:val="20"/>
                <w:lang w:val="sr-Cyrl-BA"/>
              </w:rPr>
              <w:t xml:space="preserve"> </w:t>
            </w:r>
            <w:proofErr w:type="spellStart"/>
            <w:r w:rsidRPr="00E564A8">
              <w:rPr>
                <w:sz w:val="20"/>
                <w:szCs w:val="20"/>
                <w:lang w:val="sr-Cyrl-BA"/>
              </w:rPr>
              <w:t>Бушиноска</w:t>
            </w:r>
            <w:proofErr w:type="spellEnd"/>
          </w:p>
          <w:p w14:paraId="065D545B"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E564A8">
              <w:rPr>
                <w:sz w:val="20"/>
                <w:szCs w:val="20"/>
                <w:lang w:val="sr-Cyrl-BA"/>
              </w:rPr>
              <w:t xml:space="preserve">Шериф </w:t>
            </w:r>
            <w:proofErr w:type="spellStart"/>
            <w:r w:rsidRPr="00E564A8">
              <w:rPr>
                <w:sz w:val="20"/>
                <w:szCs w:val="20"/>
                <w:lang w:val="sr-Cyrl-BA"/>
              </w:rPr>
              <w:t>Исовић</w:t>
            </w:r>
            <w:proofErr w:type="spellEnd"/>
          </w:p>
        </w:tc>
      </w:tr>
      <w:tr w:rsidR="00875596" w:rsidRPr="005373B3" w14:paraId="7DE9F052"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70231B88"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6.</w:t>
            </w:r>
          </w:p>
        </w:tc>
        <w:tc>
          <w:tcPr>
            <w:tcW w:w="1931" w:type="dxa"/>
          </w:tcPr>
          <w:p w14:paraId="0DE427FF"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Центар за </w:t>
            </w:r>
            <w:proofErr w:type="spellStart"/>
            <w:r w:rsidRPr="00E564A8">
              <w:rPr>
                <w:sz w:val="20"/>
                <w:szCs w:val="20"/>
                <w:lang w:val="sr-Cyrl-BA"/>
              </w:rPr>
              <w:t>унапређење</w:t>
            </w:r>
            <w:proofErr w:type="spellEnd"/>
            <w:r w:rsidRPr="00E564A8">
              <w:rPr>
                <w:sz w:val="20"/>
                <w:szCs w:val="20"/>
                <w:lang w:val="sr-Cyrl-BA"/>
              </w:rPr>
              <w:t xml:space="preserve"> </w:t>
            </w:r>
            <w:r w:rsidRPr="00E564A8">
              <w:rPr>
                <w:sz w:val="20"/>
                <w:szCs w:val="20"/>
                <w:lang w:val="sr-Cyrl-BA"/>
              </w:rPr>
              <w:lastRenderedPageBreak/>
              <w:t>корпоративног управљања,</w:t>
            </w:r>
          </w:p>
          <w:p w14:paraId="04DF1138"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26.05.2023. год у 11.00 часова</w:t>
            </w:r>
          </w:p>
        </w:tc>
        <w:tc>
          <w:tcPr>
            <w:tcW w:w="3431" w:type="dxa"/>
          </w:tcPr>
          <w:p w14:paraId="7CA451EE"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lang w:val="sr-Cyrl-BA"/>
              </w:rPr>
            </w:pPr>
            <w:r w:rsidRPr="00E564A8">
              <w:rPr>
                <w:sz w:val="20"/>
                <w:szCs w:val="20"/>
                <w:lang w:val="sr-Cyrl-BA"/>
              </w:rPr>
              <w:lastRenderedPageBreak/>
              <w:t xml:space="preserve">ПРАКТИЧНА ПРИМЈЕНА </w:t>
            </w:r>
            <w:r w:rsidRPr="00E564A8">
              <w:rPr>
                <w:sz w:val="20"/>
                <w:szCs w:val="20"/>
                <w:lang w:val="sr-Cyrl-BA"/>
              </w:rPr>
              <w:br/>
              <w:t xml:space="preserve">ПРОПИСА О КАНЦЕЛАРИЈСКОМ </w:t>
            </w:r>
            <w:r w:rsidRPr="00E564A8">
              <w:rPr>
                <w:sz w:val="20"/>
                <w:szCs w:val="20"/>
                <w:lang w:val="sr-Cyrl-BA"/>
              </w:rPr>
              <w:lastRenderedPageBreak/>
              <w:t>И АРХИВСКОМ ПОСЛОВАЊУ</w:t>
            </w:r>
          </w:p>
        </w:tc>
        <w:tc>
          <w:tcPr>
            <w:tcW w:w="1717" w:type="dxa"/>
          </w:tcPr>
          <w:p w14:paraId="46E80754"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b/>
                <w:w w:val="107"/>
                <w:sz w:val="20"/>
                <w:szCs w:val="20"/>
                <w:lang w:val="sr-Cyrl-BA"/>
              </w:rPr>
            </w:pPr>
            <w:r w:rsidRPr="00E564A8">
              <w:rPr>
                <w:iCs/>
                <w:sz w:val="20"/>
                <w:szCs w:val="20"/>
                <w:lang w:val="sr-Cyrl-BA"/>
              </w:rPr>
              <w:lastRenderedPageBreak/>
              <w:t xml:space="preserve">Универзитет за пословне </w:t>
            </w:r>
            <w:r w:rsidRPr="00E564A8">
              <w:rPr>
                <w:iCs/>
                <w:sz w:val="20"/>
                <w:szCs w:val="20"/>
                <w:lang w:val="sr-Cyrl-BA"/>
              </w:rPr>
              <w:lastRenderedPageBreak/>
              <w:t>студије, Бања Лука</w:t>
            </w:r>
          </w:p>
        </w:tc>
        <w:tc>
          <w:tcPr>
            <w:tcW w:w="2129" w:type="dxa"/>
          </w:tcPr>
          <w:p w14:paraId="4E6E02B2"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E564A8">
              <w:rPr>
                <w:rFonts w:eastAsia="Times New Roman"/>
                <w:sz w:val="20"/>
                <w:szCs w:val="20"/>
                <w:lang w:val="sr-Cyrl-BA"/>
              </w:rPr>
              <w:lastRenderedPageBreak/>
              <w:t xml:space="preserve">Предавач: Проф. др Милица </w:t>
            </w:r>
            <w:proofErr w:type="spellStart"/>
            <w:r w:rsidRPr="00E564A8">
              <w:rPr>
                <w:rFonts w:eastAsia="Times New Roman"/>
                <w:sz w:val="20"/>
                <w:szCs w:val="20"/>
                <w:lang w:val="sr-Cyrl-BA"/>
              </w:rPr>
              <w:t>Тепшић</w:t>
            </w:r>
            <w:proofErr w:type="spellEnd"/>
          </w:p>
          <w:p w14:paraId="6D6A570E"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p>
          <w:p w14:paraId="239A9F9C"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sz w:val="20"/>
                <w:szCs w:val="20"/>
                <w:lang w:val="sr-Cyrl-BA"/>
              </w:rPr>
            </w:pPr>
          </w:p>
        </w:tc>
      </w:tr>
      <w:tr w:rsidR="00875596" w:rsidRPr="005373B3" w14:paraId="758F874F"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12B57307"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lastRenderedPageBreak/>
              <w:t>7.</w:t>
            </w:r>
          </w:p>
        </w:tc>
        <w:tc>
          <w:tcPr>
            <w:tcW w:w="1931" w:type="dxa"/>
          </w:tcPr>
          <w:p w14:paraId="560A831F" w14:textId="77777777" w:rsidR="00875596" w:rsidRPr="00134719"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Хотел “Босна</w:t>
            </w:r>
            <w:r w:rsidRPr="00134719">
              <w:rPr>
                <w:sz w:val="20"/>
                <w:szCs w:val="20"/>
                <w:lang w:val="sr-Cyrl-BA"/>
              </w:rPr>
              <w:t xml:space="preserve">”, </w:t>
            </w:r>
            <w:r w:rsidRPr="00E564A8">
              <w:rPr>
                <w:sz w:val="20"/>
                <w:szCs w:val="20"/>
                <w:lang w:val="sr-Cyrl-BA"/>
              </w:rPr>
              <w:t>Кристална сала</w:t>
            </w:r>
          </w:p>
          <w:p w14:paraId="6C552336"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134719">
              <w:rPr>
                <w:sz w:val="20"/>
                <w:szCs w:val="20"/>
                <w:lang w:val="sr-Cyrl-BA"/>
              </w:rPr>
              <w:t>30.05.2023</w:t>
            </w:r>
          </w:p>
          <w:p w14:paraId="1934BE7D"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3431" w:type="dxa"/>
          </w:tcPr>
          <w:p w14:paraId="177C7C3B"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rPr>
            </w:pPr>
            <w:r w:rsidRPr="00E564A8">
              <w:rPr>
                <w:rFonts w:eastAsia="Times New Roman"/>
                <w:bCs/>
                <w:sz w:val="20"/>
                <w:szCs w:val="20"/>
                <w:lang w:val="sr-Cyrl-BA"/>
              </w:rPr>
              <w:t>Банкарски сектор у доба неизвјесности - како даље;</w:t>
            </w:r>
          </w:p>
          <w:p w14:paraId="1DB6AD77"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Улога инвестиционих фондова на тржишту капитала</w:t>
            </w:r>
          </w:p>
          <w:p w14:paraId="04297365"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Финтецх-3 у 1, продуктивност, сигурност и задовољство клијента?</w:t>
            </w:r>
          </w:p>
          <w:p w14:paraId="453C8FE8"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 xml:space="preserve">Пословање </w:t>
            </w:r>
            <w:proofErr w:type="spellStart"/>
            <w:r w:rsidRPr="00E564A8">
              <w:rPr>
                <w:rFonts w:eastAsia="Calibri"/>
                <w:sz w:val="20"/>
                <w:szCs w:val="20"/>
                <w:lang w:val="sr-Cyrl-BA"/>
              </w:rPr>
              <w:t>микрокредитних</w:t>
            </w:r>
            <w:proofErr w:type="spellEnd"/>
            <w:r w:rsidRPr="00E564A8">
              <w:rPr>
                <w:rFonts w:eastAsia="Calibri"/>
                <w:sz w:val="20"/>
                <w:szCs w:val="20"/>
                <w:lang w:val="sr-Cyrl-BA"/>
              </w:rPr>
              <w:t xml:space="preserve"> организација у комплексном економско-политичком окружењу-могући правци развоја!</w:t>
            </w:r>
          </w:p>
          <w:p w14:paraId="3F69832F"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Некретнине - сигурна лука или (</w:t>
            </w:r>
            <w:proofErr w:type="spellStart"/>
            <w:r w:rsidRPr="00E564A8">
              <w:rPr>
                <w:rFonts w:eastAsia="Calibri"/>
                <w:sz w:val="20"/>
                <w:szCs w:val="20"/>
                <w:lang w:val="sr-Cyrl-BA"/>
              </w:rPr>
              <w:t>пре</w:t>
            </w:r>
            <w:proofErr w:type="spellEnd"/>
            <w:r w:rsidRPr="00E564A8">
              <w:rPr>
                <w:rFonts w:eastAsia="Calibri"/>
                <w:sz w:val="20"/>
                <w:szCs w:val="20"/>
                <w:lang w:val="sr-Cyrl-BA"/>
              </w:rPr>
              <w:t>)надувани балон</w:t>
            </w:r>
          </w:p>
          <w:p w14:paraId="4DDA7BFD"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Регулаторни оквир тржишта некретнина - може ли боље?</w:t>
            </w:r>
          </w:p>
          <w:p w14:paraId="51D3718D"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Cyrl-BA"/>
              </w:rPr>
            </w:pPr>
            <w:r w:rsidRPr="00E564A8">
              <w:rPr>
                <w:rFonts w:eastAsia="Calibri"/>
                <w:sz w:val="20"/>
                <w:szCs w:val="20"/>
                <w:lang w:val="sr-Cyrl-BA"/>
              </w:rPr>
              <w:t>Панел представника удружења за промет некретнинама из региона</w:t>
            </w:r>
          </w:p>
        </w:tc>
        <w:tc>
          <w:tcPr>
            <w:tcW w:w="1717" w:type="dxa"/>
          </w:tcPr>
          <w:p w14:paraId="37B8037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Bam</w:t>
            </w:r>
            <w:proofErr w:type="spellEnd"/>
            <w:r w:rsidRPr="00E564A8">
              <w:rPr>
                <w:sz w:val="20"/>
                <w:szCs w:val="20"/>
                <w:lang w:val="sr-Cyrl-BA"/>
              </w:rPr>
              <w:t xml:space="preserve"> </w:t>
            </w:r>
            <w:proofErr w:type="spellStart"/>
            <w:r w:rsidRPr="00E564A8">
              <w:rPr>
                <w:sz w:val="20"/>
                <w:szCs w:val="20"/>
                <w:lang w:val="sr-Cyrl-BA"/>
              </w:rPr>
              <w:t>consult</w:t>
            </w:r>
            <w:proofErr w:type="spellEnd"/>
            <w:r w:rsidRPr="00E564A8">
              <w:rPr>
                <w:sz w:val="20"/>
                <w:szCs w:val="20"/>
                <w:lang w:val="sr-Cyrl-BA"/>
              </w:rPr>
              <w:t xml:space="preserve"> </w:t>
            </w:r>
            <w:proofErr w:type="spellStart"/>
            <w:r w:rsidRPr="00E564A8">
              <w:rPr>
                <w:sz w:val="20"/>
                <w:szCs w:val="20"/>
                <w:lang w:val="sr-Cyrl-BA"/>
              </w:rPr>
              <w:t>д.о.о</w:t>
            </w:r>
            <w:proofErr w:type="spellEnd"/>
            <w:r w:rsidRPr="00E564A8">
              <w:rPr>
                <w:sz w:val="20"/>
                <w:szCs w:val="20"/>
                <w:lang w:val="sr-Cyrl-BA"/>
              </w:rPr>
              <w:t>. Бања Лука</w:t>
            </w:r>
          </w:p>
          <w:p w14:paraId="296AC760"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Ддаy</w:t>
            </w:r>
            <w:proofErr w:type="spellEnd"/>
            <w:r w:rsidRPr="00E564A8">
              <w:rPr>
                <w:sz w:val="20"/>
                <w:szCs w:val="20"/>
                <w:lang w:val="sr-Cyrl-BA"/>
              </w:rPr>
              <w:t xml:space="preserve"> конференцији у Бања Луци</w:t>
            </w:r>
          </w:p>
          <w:p w14:paraId="006F761C"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Cyrl-BA"/>
              </w:rPr>
            </w:pPr>
          </w:p>
        </w:tc>
        <w:tc>
          <w:tcPr>
            <w:tcW w:w="2129" w:type="dxa"/>
          </w:tcPr>
          <w:p w14:paraId="4F12C78B"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7955CF">
              <w:rPr>
                <w:sz w:val="20"/>
                <w:szCs w:val="20"/>
                <w:lang w:val="sr-Cyrl-BA"/>
              </w:rPr>
              <w:t>Срђан</w:t>
            </w:r>
            <w:r w:rsidRPr="00E564A8">
              <w:rPr>
                <w:b/>
                <w:bCs/>
                <w:sz w:val="20"/>
                <w:szCs w:val="20"/>
                <w:lang w:val="sr-Cyrl-BA"/>
              </w:rPr>
              <w:t xml:space="preserve"> </w:t>
            </w:r>
            <w:proofErr w:type="spellStart"/>
            <w:r w:rsidRPr="00E564A8">
              <w:rPr>
                <w:sz w:val="20"/>
                <w:szCs w:val="20"/>
                <w:lang w:val="sr-Cyrl-BA"/>
              </w:rPr>
              <w:t>Шупут</w:t>
            </w:r>
            <w:proofErr w:type="spellEnd"/>
          </w:p>
          <w:p w14:paraId="1E7E0241"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Огњен Михајловић</w:t>
            </w:r>
          </w:p>
          <w:p w14:paraId="632945FD"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Милош Грујић</w:t>
            </w:r>
          </w:p>
          <w:p w14:paraId="416ED499"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Елма</w:t>
            </w:r>
            <w:proofErr w:type="spellEnd"/>
            <w:r w:rsidRPr="00E564A8">
              <w:rPr>
                <w:sz w:val="20"/>
                <w:szCs w:val="20"/>
                <w:lang w:val="sr-Cyrl-BA"/>
              </w:rPr>
              <w:t xml:space="preserve"> </w:t>
            </w:r>
            <w:proofErr w:type="spellStart"/>
            <w:r w:rsidRPr="00E564A8">
              <w:rPr>
                <w:sz w:val="20"/>
                <w:szCs w:val="20"/>
                <w:lang w:val="sr-Cyrl-BA"/>
              </w:rPr>
              <w:t>Зукић</w:t>
            </w:r>
            <w:proofErr w:type="spellEnd"/>
          </w:p>
          <w:p w14:paraId="53DEDBA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Ервин </w:t>
            </w:r>
            <w:proofErr w:type="spellStart"/>
            <w:r w:rsidRPr="00E564A8">
              <w:rPr>
                <w:sz w:val="20"/>
                <w:szCs w:val="20"/>
                <w:lang w:val="sr-Cyrl-BA"/>
              </w:rPr>
              <w:t>Пашановић</w:t>
            </w:r>
            <w:proofErr w:type="spellEnd"/>
          </w:p>
          <w:p w14:paraId="279E83D8"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Ненад Ђорђевић</w:t>
            </w:r>
          </w:p>
          <w:p w14:paraId="0734C2F3"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Славиша Пешић</w:t>
            </w:r>
          </w:p>
          <w:p w14:paraId="0E2790B7"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
          <w:p w14:paraId="1EE764F2"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Cyrl-BA"/>
              </w:rPr>
            </w:pPr>
          </w:p>
          <w:p w14:paraId="2E184EB0"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Cyrl-BA"/>
              </w:rPr>
            </w:pPr>
          </w:p>
        </w:tc>
      </w:tr>
      <w:tr w:rsidR="00875596" w:rsidRPr="005373B3" w14:paraId="6551FF19"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35105067"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8.</w:t>
            </w:r>
          </w:p>
        </w:tc>
        <w:tc>
          <w:tcPr>
            <w:tcW w:w="1931" w:type="dxa"/>
          </w:tcPr>
          <w:p w14:paraId="4DE94972"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proofErr w:type="spellStart"/>
            <w:r w:rsidRPr="00E564A8">
              <w:rPr>
                <w:sz w:val="20"/>
                <w:szCs w:val="20"/>
                <w:lang w:val="sr-Cyrl-BA"/>
              </w:rPr>
              <w:t>Online</w:t>
            </w:r>
            <w:proofErr w:type="spellEnd"/>
            <w:r w:rsidRPr="00E564A8">
              <w:rPr>
                <w:sz w:val="20"/>
                <w:szCs w:val="20"/>
                <w:lang w:val="sr-Cyrl-BA"/>
              </w:rPr>
              <w:t xml:space="preserve"> предавање</w:t>
            </w:r>
          </w:p>
          <w:p w14:paraId="09B385F1"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08.06.2023</w:t>
            </w:r>
          </w:p>
        </w:tc>
        <w:tc>
          <w:tcPr>
            <w:tcW w:w="3431" w:type="dxa"/>
          </w:tcPr>
          <w:p w14:paraId="472614C4"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ESMA Training on Money Market Fund (MMF) Regulation</w:t>
            </w:r>
          </w:p>
        </w:tc>
        <w:tc>
          <w:tcPr>
            <w:tcW w:w="1717" w:type="dxa"/>
          </w:tcPr>
          <w:p w14:paraId="1AF76F1C"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ESMA</w:t>
            </w:r>
          </w:p>
        </w:tc>
        <w:tc>
          <w:tcPr>
            <w:tcW w:w="2129" w:type="dxa"/>
          </w:tcPr>
          <w:p w14:paraId="216E38BA"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Emmanuel Doumas</w:t>
            </w:r>
          </w:p>
          <w:p w14:paraId="1C82E9DA"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William Paris and Massimo Ferrari</w:t>
            </w:r>
          </w:p>
        </w:tc>
      </w:tr>
      <w:tr w:rsidR="00875596" w:rsidRPr="005373B3" w14:paraId="78105A34"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15B4570C"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9.</w:t>
            </w:r>
          </w:p>
        </w:tc>
        <w:tc>
          <w:tcPr>
            <w:tcW w:w="1931" w:type="dxa"/>
          </w:tcPr>
          <w:p w14:paraId="427C2F97"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E564A8">
              <w:rPr>
                <w:sz w:val="20"/>
                <w:szCs w:val="20"/>
                <w:lang w:val="sr-Cyrl-BA"/>
              </w:rPr>
              <w:t>Online</w:t>
            </w:r>
            <w:proofErr w:type="spellEnd"/>
            <w:r w:rsidRPr="00E564A8">
              <w:rPr>
                <w:sz w:val="20"/>
                <w:szCs w:val="20"/>
                <w:lang w:val="sr-Cyrl-BA"/>
              </w:rPr>
              <w:t xml:space="preserve"> предавање</w:t>
            </w:r>
          </w:p>
          <w:p w14:paraId="313A9198"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28.06.2023</w:t>
            </w:r>
          </w:p>
        </w:tc>
        <w:tc>
          <w:tcPr>
            <w:tcW w:w="3431" w:type="dxa"/>
          </w:tcPr>
          <w:p w14:paraId="2EF0309D"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Упутства за попуњавање упитника у вези са принципима 6 И 7</w:t>
            </w:r>
          </w:p>
        </w:tc>
        <w:tc>
          <w:tcPr>
            <w:tcW w:w="1717" w:type="dxa"/>
          </w:tcPr>
          <w:p w14:paraId="4F85B9F2"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IOSCO</w:t>
            </w:r>
          </w:p>
        </w:tc>
        <w:tc>
          <w:tcPr>
            <w:tcW w:w="2129" w:type="dxa"/>
          </w:tcPr>
          <w:p w14:paraId="583B5A9F"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E564A8">
              <w:rPr>
                <w:sz w:val="20"/>
                <w:szCs w:val="20"/>
              </w:rPr>
              <w:t>Sharon Kelly</w:t>
            </w:r>
          </w:p>
        </w:tc>
      </w:tr>
      <w:tr w:rsidR="00875596" w:rsidRPr="007A6556" w14:paraId="386934DB"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266171EE" w14:textId="77777777" w:rsidR="00875596" w:rsidRPr="00E564A8" w:rsidRDefault="00875596" w:rsidP="00875596">
            <w:pPr>
              <w:spacing w:after="0" w:line="240" w:lineRule="auto"/>
              <w:ind w:firstLine="0"/>
              <w:rPr>
                <w:rFonts w:ascii="Times New Roman" w:hAnsi="Times New Roman" w:cs="Times New Roman"/>
                <w:sz w:val="20"/>
                <w:szCs w:val="20"/>
              </w:rPr>
            </w:pPr>
            <w:r w:rsidRPr="00E564A8">
              <w:rPr>
                <w:rFonts w:ascii="Times New Roman" w:hAnsi="Times New Roman" w:cs="Times New Roman"/>
                <w:sz w:val="20"/>
                <w:szCs w:val="20"/>
              </w:rPr>
              <w:t>10.</w:t>
            </w:r>
          </w:p>
        </w:tc>
        <w:tc>
          <w:tcPr>
            <w:tcW w:w="1931" w:type="dxa"/>
          </w:tcPr>
          <w:p w14:paraId="035C86D0"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u w:val="single"/>
              </w:rPr>
              <w:t xml:space="preserve">Official Posting: IOSCO Bulletins </w:t>
            </w:r>
            <w:r w:rsidRPr="00E564A8">
              <w:rPr>
                <w:sz w:val="20"/>
                <w:szCs w:val="20"/>
                <w:u w:val="single"/>
              </w:rPr>
              <w:br/>
            </w:r>
            <w:r w:rsidRPr="00E564A8">
              <w:rPr>
                <w:sz w:val="20"/>
                <w:szCs w:val="20"/>
                <w:u w:val="single"/>
              </w:rPr>
              <w:br/>
            </w:r>
            <w:r w:rsidRPr="00E564A8">
              <w:rPr>
                <w:sz w:val="20"/>
                <w:szCs w:val="20"/>
              </w:rPr>
              <w:t xml:space="preserve">Email sent by: IOSCO General Secretariat </w:t>
            </w:r>
          </w:p>
          <w:p w14:paraId="0FAC9AC1"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 </w:t>
            </w:r>
          </w:p>
          <w:p w14:paraId="3F93B324" w14:textId="0F9FA9D6"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rPr>
            </w:pPr>
          </w:p>
        </w:tc>
        <w:tc>
          <w:tcPr>
            <w:tcW w:w="3431" w:type="dxa"/>
          </w:tcPr>
          <w:p w14:paraId="204C4A7D"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bCs/>
                <w:sz w:val="20"/>
                <w:szCs w:val="20"/>
              </w:rPr>
            </w:pPr>
            <w:r w:rsidRPr="00E564A8">
              <w:rPr>
                <w:bCs/>
                <w:sz w:val="20"/>
                <w:szCs w:val="20"/>
              </w:rPr>
              <w:t>Rethinking Enforcement Approaches in a Digitized Securities Industry</w:t>
            </w:r>
          </w:p>
          <w:p w14:paraId="29D27228"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bCs/>
                <w:sz w:val="20"/>
                <w:szCs w:val="20"/>
              </w:rPr>
            </w:pPr>
            <w:r w:rsidRPr="00E564A8">
              <w:rPr>
                <w:bCs/>
                <w:sz w:val="20"/>
                <w:szCs w:val="20"/>
              </w:rPr>
              <w:t>A machine learning approach to support decision in insider trading detection</w:t>
            </w:r>
          </w:p>
          <w:p w14:paraId="09722CB8"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rPr>
            </w:pPr>
            <w:proofErr w:type="gramStart"/>
            <w:r w:rsidRPr="00E564A8">
              <w:rPr>
                <w:sz w:val="20"/>
                <w:szCs w:val="20"/>
              </w:rPr>
              <w:t>Open Source</w:t>
            </w:r>
            <w:proofErr w:type="gramEnd"/>
            <w:r w:rsidRPr="00E564A8">
              <w:rPr>
                <w:sz w:val="20"/>
                <w:szCs w:val="20"/>
              </w:rPr>
              <w:t xml:space="preserve"> Intelligence (OSINT) - Tips and Tricks for Online Investigations</w:t>
            </w:r>
          </w:p>
        </w:tc>
        <w:tc>
          <w:tcPr>
            <w:tcW w:w="1717" w:type="dxa"/>
          </w:tcPr>
          <w:p w14:paraId="7C2A4D8E"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IOSCO</w:t>
            </w:r>
          </w:p>
        </w:tc>
        <w:tc>
          <w:tcPr>
            <w:tcW w:w="2129" w:type="dxa"/>
          </w:tcPr>
          <w:p w14:paraId="7DEE420F"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 xml:space="preserve">Supervision experts from different countries (Yusuf </w:t>
            </w:r>
            <w:proofErr w:type="spellStart"/>
            <w:r w:rsidRPr="00E564A8">
              <w:rPr>
                <w:sz w:val="20"/>
                <w:szCs w:val="20"/>
              </w:rPr>
              <w:t>Campar</w:t>
            </w:r>
            <w:proofErr w:type="spellEnd"/>
            <w:r w:rsidRPr="00E564A8">
              <w:rPr>
                <w:sz w:val="20"/>
                <w:szCs w:val="20"/>
              </w:rPr>
              <w:t>, Molly Choucair…)</w:t>
            </w:r>
          </w:p>
        </w:tc>
      </w:tr>
      <w:tr w:rsidR="00875596" w:rsidRPr="005373B3" w14:paraId="3B916A97"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371D95B1"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11.</w:t>
            </w:r>
          </w:p>
        </w:tc>
        <w:tc>
          <w:tcPr>
            <w:tcW w:w="1931" w:type="dxa"/>
          </w:tcPr>
          <w:p w14:paraId="050482DE"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Курс у Бечу</w:t>
            </w:r>
          </w:p>
          <w:p w14:paraId="191D30C7"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18.09.2023. – 29.09.2023. године</w:t>
            </w:r>
          </w:p>
        </w:tc>
        <w:tc>
          <w:tcPr>
            <w:tcW w:w="3431" w:type="dxa"/>
          </w:tcPr>
          <w:p w14:paraId="0FE509A1"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Правила финансијског сектора</w:t>
            </w:r>
          </w:p>
        </w:tc>
        <w:tc>
          <w:tcPr>
            <w:tcW w:w="1717" w:type="dxa"/>
          </w:tcPr>
          <w:p w14:paraId="60AF15F7"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E564A8">
              <w:rPr>
                <w:sz w:val="20"/>
                <w:szCs w:val="20"/>
              </w:rPr>
              <w:t>Joint Vienna Institute</w:t>
            </w:r>
          </w:p>
        </w:tc>
        <w:tc>
          <w:tcPr>
            <w:tcW w:w="2129" w:type="dxa"/>
          </w:tcPr>
          <w:p w14:paraId="37EA9293"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E564A8">
              <w:rPr>
                <w:sz w:val="20"/>
                <w:szCs w:val="20"/>
              </w:rPr>
              <w:t xml:space="preserve">Luiza </w:t>
            </w:r>
            <w:proofErr w:type="spellStart"/>
            <w:r w:rsidRPr="00E564A8">
              <w:rPr>
                <w:sz w:val="20"/>
                <w:szCs w:val="20"/>
              </w:rPr>
              <w:t>Zaforlin</w:t>
            </w:r>
            <w:proofErr w:type="spellEnd"/>
          </w:p>
          <w:p w14:paraId="3D05F62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E564A8">
              <w:rPr>
                <w:sz w:val="20"/>
                <w:szCs w:val="20"/>
              </w:rPr>
              <w:t xml:space="preserve">Laurent </w:t>
            </w:r>
            <w:proofErr w:type="spellStart"/>
            <w:r w:rsidRPr="00E564A8">
              <w:rPr>
                <w:sz w:val="20"/>
                <w:szCs w:val="20"/>
              </w:rPr>
              <w:t>Millischer</w:t>
            </w:r>
            <w:proofErr w:type="spellEnd"/>
          </w:p>
          <w:p w14:paraId="28C22851"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E564A8">
              <w:rPr>
                <w:sz w:val="20"/>
                <w:szCs w:val="20"/>
              </w:rPr>
              <w:t xml:space="preserve">Rasool </w:t>
            </w:r>
            <w:proofErr w:type="spellStart"/>
            <w:r w:rsidRPr="00E564A8">
              <w:rPr>
                <w:sz w:val="20"/>
                <w:szCs w:val="20"/>
              </w:rPr>
              <w:t>Zandvakil</w:t>
            </w:r>
            <w:proofErr w:type="spellEnd"/>
          </w:p>
        </w:tc>
      </w:tr>
      <w:tr w:rsidR="00875596" w:rsidRPr="005373B3" w14:paraId="7CC914E5"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54B3016A"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12</w:t>
            </w:r>
          </w:p>
        </w:tc>
        <w:tc>
          <w:tcPr>
            <w:tcW w:w="1931" w:type="dxa"/>
          </w:tcPr>
          <w:p w14:paraId="724A2230"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Семинар</w:t>
            </w:r>
          </w:p>
        </w:tc>
        <w:tc>
          <w:tcPr>
            <w:tcW w:w="3431" w:type="dxa"/>
          </w:tcPr>
          <w:p w14:paraId="210E6DBF"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Развој тржишта домаћих дужничких инструмената  (</w:t>
            </w:r>
            <w:r w:rsidRPr="00E564A8">
              <w:rPr>
                <w:sz w:val="20"/>
                <w:szCs w:val="20"/>
              </w:rPr>
              <w:t>Domestic debt market development)</w:t>
            </w:r>
          </w:p>
        </w:tc>
        <w:tc>
          <w:tcPr>
            <w:tcW w:w="1717" w:type="dxa"/>
          </w:tcPr>
          <w:p w14:paraId="4194F7DA"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MMF, JVI</w:t>
            </w:r>
          </w:p>
        </w:tc>
        <w:tc>
          <w:tcPr>
            <w:tcW w:w="2129" w:type="dxa"/>
          </w:tcPr>
          <w:p w14:paraId="0AF53A45"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E564A8">
              <w:rPr>
                <w:sz w:val="20"/>
                <w:szCs w:val="20"/>
              </w:rPr>
              <w:t>Miriam Tamene, Cesar Arias, Robert T. Andreoli Jr, Joanne Perez</w:t>
            </w:r>
          </w:p>
        </w:tc>
      </w:tr>
      <w:tr w:rsidR="00875596" w:rsidRPr="005373B3" w14:paraId="546C5C0D"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49339F5C"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13.</w:t>
            </w:r>
          </w:p>
        </w:tc>
        <w:tc>
          <w:tcPr>
            <w:tcW w:w="1931" w:type="dxa"/>
          </w:tcPr>
          <w:p w14:paraId="5C756429"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 ДОРС 2023, </w:t>
            </w:r>
          </w:p>
          <w:p w14:paraId="1E906DA3"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19. и 20. октобар Етно села Станишићи у Бијељини.</w:t>
            </w:r>
          </w:p>
        </w:tc>
        <w:tc>
          <w:tcPr>
            <w:tcW w:w="3431" w:type="dxa"/>
          </w:tcPr>
          <w:p w14:paraId="25CAB98B"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Изазови у сектору осигурања у доба глобалне неизвјесности”, </w:t>
            </w:r>
          </w:p>
        </w:tc>
        <w:tc>
          <w:tcPr>
            <w:tcW w:w="1717" w:type="dxa"/>
          </w:tcPr>
          <w:p w14:paraId="6D3CCD3B"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Привредна комора Републике Српске</w:t>
            </w:r>
          </w:p>
        </w:tc>
        <w:tc>
          <w:tcPr>
            <w:tcW w:w="2129" w:type="dxa"/>
          </w:tcPr>
          <w:p w14:paraId="509A3211"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Бојан Поповић</w:t>
            </w:r>
          </w:p>
          <w:p w14:paraId="467F83BA"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Валентино Јанковић</w:t>
            </w:r>
          </w:p>
          <w:p w14:paraId="24ED5056"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Синиша </w:t>
            </w:r>
            <w:proofErr w:type="spellStart"/>
            <w:r w:rsidRPr="00E564A8">
              <w:rPr>
                <w:sz w:val="20"/>
                <w:szCs w:val="20"/>
                <w:lang w:val="sr-Cyrl-BA"/>
              </w:rPr>
              <w:t>Куртеш</w:t>
            </w:r>
            <w:proofErr w:type="spellEnd"/>
          </w:p>
          <w:p w14:paraId="3F2FBDF2"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Борислав </w:t>
            </w:r>
            <w:proofErr w:type="spellStart"/>
            <w:r w:rsidRPr="00E564A8">
              <w:rPr>
                <w:sz w:val="20"/>
                <w:szCs w:val="20"/>
                <w:lang w:val="sr-Cyrl-BA"/>
              </w:rPr>
              <w:t>Додер</w:t>
            </w:r>
            <w:proofErr w:type="spellEnd"/>
          </w:p>
          <w:p w14:paraId="2596CA6D"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Миленко </w:t>
            </w:r>
            <w:proofErr w:type="spellStart"/>
            <w:r w:rsidRPr="00E564A8">
              <w:rPr>
                <w:sz w:val="20"/>
                <w:szCs w:val="20"/>
                <w:lang w:val="sr-Cyrl-BA"/>
              </w:rPr>
              <w:t>Мишановић</w:t>
            </w:r>
            <w:proofErr w:type="spellEnd"/>
          </w:p>
          <w:p w14:paraId="24E08573"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p>
        </w:tc>
      </w:tr>
      <w:tr w:rsidR="00875596" w:rsidRPr="005373B3" w14:paraId="1480F112" w14:textId="77777777" w:rsidTr="0041052D">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5C143F4E"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14.</w:t>
            </w:r>
          </w:p>
        </w:tc>
        <w:tc>
          <w:tcPr>
            <w:tcW w:w="1931" w:type="dxa"/>
          </w:tcPr>
          <w:p w14:paraId="0FCD7259"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3. Инвестициона конференцији ИРБ РС „</w:t>
            </w:r>
            <w:proofErr w:type="spellStart"/>
            <w:r w:rsidRPr="00E564A8">
              <w:rPr>
                <w:sz w:val="20"/>
                <w:szCs w:val="20"/>
                <w:lang w:val="sr-Cyrl-BA"/>
              </w:rPr>
              <w:t>Инвест</w:t>
            </w:r>
            <w:proofErr w:type="spellEnd"/>
            <w:r w:rsidRPr="00E564A8">
              <w:rPr>
                <w:sz w:val="20"/>
                <w:szCs w:val="20"/>
                <w:lang w:val="sr-Cyrl-BA"/>
              </w:rPr>
              <w:t xml:space="preserve"> Српска 2023“</w:t>
            </w:r>
          </w:p>
        </w:tc>
        <w:tc>
          <w:tcPr>
            <w:tcW w:w="3431" w:type="dxa"/>
          </w:tcPr>
          <w:p w14:paraId="57A88018"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Инвестиције и како до нових инвеститора</w:t>
            </w:r>
          </w:p>
          <w:p w14:paraId="764708A9"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Изазови и потребе финансирања извоза</w:t>
            </w:r>
          </w:p>
          <w:p w14:paraId="1E242379"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Локалне заједнице – право мјесто за улагање</w:t>
            </w:r>
          </w:p>
          <w:p w14:paraId="6B7197F8"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Компаративне </w:t>
            </w:r>
            <w:proofErr w:type="spellStart"/>
            <w:r w:rsidRPr="00E564A8">
              <w:rPr>
                <w:sz w:val="20"/>
                <w:szCs w:val="20"/>
                <w:lang w:val="sr-Cyrl-BA"/>
              </w:rPr>
              <w:t>предности</w:t>
            </w:r>
            <w:proofErr w:type="spellEnd"/>
            <w:r w:rsidRPr="00E564A8">
              <w:rPr>
                <w:sz w:val="20"/>
                <w:szCs w:val="20"/>
                <w:lang w:val="sr-Cyrl-BA"/>
              </w:rPr>
              <w:t xml:space="preserve"> домаћег извоза</w:t>
            </w:r>
          </w:p>
        </w:tc>
        <w:tc>
          <w:tcPr>
            <w:tcW w:w="1717" w:type="dxa"/>
          </w:tcPr>
          <w:p w14:paraId="7FDFFC14"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E564A8">
              <w:rPr>
                <w:bCs/>
                <w:w w:val="107"/>
                <w:sz w:val="20"/>
                <w:szCs w:val="20"/>
                <w:lang w:val="sr-Cyrl-BA"/>
              </w:rPr>
              <w:t>ИРБ РС</w:t>
            </w:r>
          </w:p>
        </w:tc>
        <w:tc>
          <w:tcPr>
            <w:tcW w:w="2129" w:type="dxa"/>
          </w:tcPr>
          <w:p w14:paraId="4ED67630" w14:textId="77777777" w:rsidR="00875596" w:rsidRPr="00E564A8" w:rsidRDefault="00875596" w:rsidP="00875596">
            <w:pPr>
              <w:spacing w:after="0" w:line="240" w:lineRule="auto"/>
              <w:ind w:firstLine="0"/>
              <w:jc w:val="left"/>
              <w:outlineLvl w:val="0"/>
              <w:cnfStyle w:val="000000010000" w:firstRow="0" w:lastRow="0" w:firstColumn="0" w:lastColumn="0" w:oddVBand="0" w:evenVBand="0" w:oddHBand="0" w:evenHBand="1" w:firstRowFirstColumn="0" w:firstRowLastColumn="0" w:lastRowFirstColumn="0" w:lastRowLastColumn="0"/>
              <w:rPr>
                <w:sz w:val="20"/>
                <w:szCs w:val="20"/>
                <w:lang w:val="sr-Cyrl-BA"/>
              </w:rPr>
            </w:pPr>
          </w:p>
        </w:tc>
      </w:tr>
      <w:tr w:rsidR="00875596" w:rsidRPr="005373B3" w14:paraId="11668308" w14:textId="77777777" w:rsidTr="0041052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705" w:type="dxa"/>
          </w:tcPr>
          <w:p w14:paraId="31AD0D04"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bookmarkStart w:id="89" w:name="_Hlk152054030"/>
            <w:r w:rsidRPr="00E564A8">
              <w:rPr>
                <w:rFonts w:ascii="Times New Roman" w:hAnsi="Times New Roman" w:cs="Times New Roman"/>
                <w:sz w:val="20"/>
                <w:szCs w:val="20"/>
                <w:lang w:val="sr-Cyrl-BA"/>
              </w:rPr>
              <w:t>15.</w:t>
            </w:r>
          </w:p>
        </w:tc>
        <w:tc>
          <w:tcPr>
            <w:tcW w:w="1931" w:type="dxa"/>
          </w:tcPr>
          <w:p w14:paraId="56D9253F"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Хотел </w:t>
            </w:r>
            <w:r w:rsidRPr="00E564A8">
              <w:rPr>
                <w:sz w:val="20"/>
                <w:szCs w:val="20"/>
              </w:rPr>
              <w:t>Courtyard by Marriott</w:t>
            </w:r>
            <w:r w:rsidRPr="00E564A8">
              <w:rPr>
                <w:sz w:val="20"/>
                <w:szCs w:val="20"/>
                <w:lang w:val="sr-Cyrl-BA"/>
              </w:rPr>
              <w:t xml:space="preserve"> у Бањалуци, у понедјељак 27. новембра 2023. </w:t>
            </w:r>
            <w:r w:rsidRPr="00E564A8">
              <w:rPr>
                <w:sz w:val="20"/>
                <w:szCs w:val="20"/>
                <w:lang w:val="sr-Cyrl-BA"/>
              </w:rPr>
              <w:lastRenderedPageBreak/>
              <w:t>године у 12 часова</w:t>
            </w:r>
            <w:r w:rsidRPr="00E564A8">
              <w:rPr>
                <w:sz w:val="20"/>
                <w:szCs w:val="20"/>
                <w:lang w:val="sr-Cyrl-BA"/>
              </w:rPr>
              <w:br/>
            </w:r>
          </w:p>
        </w:tc>
        <w:tc>
          <w:tcPr>
            <w:tcW w:w="3431" w:type="dxa"/>
          </w:tcPr>
          <w:p w14:paraId="6376D713" w14:textId="77777777" w:rsidR="00875596" w:rsidRPr="00E564A8" w:rsidRDefault="00875596"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lastRenderedPageBreak/>
              <w:t>Статистика новог доба</w:t>
            </w:r>
          </w:p>
        </w:tc>
        <w:tc>
          <w:tcPr>
            <w:tcW w:w="1717" w:type="dxa"/>
          </w:tcPr>
          <w:p w14:paraId="6125D109"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Cyrl-BA"/>
              </w:rPr>
            </w:pPr>
            <w:r w:rsidRPr="00E564A8">
              <w:rPr>
                <w:bCs/>
                <w:w w:val="107"/>
                <w:sz w:val="20"/>
                <w:szCs w:val="20"/>
                <w:lang w:val="sr-Cyrl-BA"/>
              </w:rPr>
              <w:t>Републички завод за статистику</w:t>
            </w:r>
          </w:p>
        </w:tc>
        <w:tc>
          <w:tcPr>
            <w:tcW w:w="2129" w:type="dxa"/>
          </w:tcPr>
          <w:p w14:paraId="02D13E02" w14:textId="77777777" w:rsidR="00875596" w:rsidRPr="00E564A8" w:rsidRDefault="00875596"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Зора Видовић</w:t>
            </w:r>
          </w:p>
          <w:p w14:paraId="3044903E" w14:textId="77777777" w:rsidR="00875596" w:rsidRPr="00E564A8" w:rsidRDefault="00875596"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Весна </w:t>
            </w:r>
            <w:proofErr w:type="spellStart"/>
            <w:r w:rsidRPr="00E564A8">
              <w:rPr>
                <w:sz w:val="20"/>
                <w:szCs w:val="20"/>
                <w:lang w:val="sr-Cyrl-BA"/>
              </w:rPr>
              <w:t>Ћужић</w:t>
            </w:r>
            <w:proofErr w:type="spellEnd"/>
          </w:p>
          <w:p w14:paraId="515E793C" w14:textId="77777777" w:rsidR="00875596" w:rsidRPr="00E564A8" w:rsidRDefault="00875596"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Бранко Јосиповић</w:t>
            </w:r>
          </w:p>
          <w:p w14:paraId="305DD40E" w14:textId="77777777" w:rsidR="00875596" w:rsidRPr="00E564A8" w:rsidRDefault="00875596"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sz w:val="20"/>
                <w:szCs w:val="20"/>
                <w:lang w:val="sr-Cyrl-BA"/>
              </w:rPr>
              <w:t xml:space="preserve">Јасмин </w:t>
            </w:r>
            <w:proofErr w:type="spellStart"/>
            <w:r w:rsidRPr="00E564A8">
              <w:rPr>
                <w:sz w:val="20"/>
                <w:szCs w:val="20"/>
                <w:lang w:val="sr-Cyrl-BA"/>
              </w:rPr>
              <w:t>Комић</w:t>
            </w:r>
            <w:proofErr w:type="spellEnd"/>
          </w:p>
          <w:p w14:paraId="1A9CEE16" w14:textId="77777777" w:rsidR="00875596" w:rsidRPr="00E564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Cyrl-BA"/>
              </w:rPr>
            </w:pPr>
          </w:p>
        </w:tc>
      </w:tr>
      <w:tr w:rsidR="00875596" w:rsidRPr="005373B3" w14:paraId="1C69708F" w14:textId="77777777" w:rsidTr="00134719">
        <w:trPr>
          <w:cnfStyle w:val="000000010000" w:firstRow="0" w:lastRow="0" w:firstColumn="0" w:lastColumn="0" w:oddVBand="0" w:evenVBand="0" w:oddHBand="0" w:evenHBand="1" w:firstRowFirstColumn="0" w:firstRowLastColumn="0" w:lastRowFirstColumn="0" w:lastRowLastColumn="0"/>
          <w:trHeight w:val="1626"/>
          <w:jc w:val="center"/>
        </w:trPr>
        <w:tc>
          <w:tcPr>
            <w:cnfStyle w:val="001000000000" w:firstRow="0" w:lastRow="0" w:firstColumn="1" w:lastColumn="0" w:oddVBand="0" w:evenVBand="0" w:oddHBand="0" w:evenHBand="0" w:firstRowFirstColumn="0" w:firstRowLastColumn="0" w:lastRowFirstColumn="0" w:lastRowLastColumn="0"/>
            <w:tcW w:w="705" w:type="dxa"/>
          </w:tcPr>
          <w:p w14:paraId="24BD96DC"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16.</w:t>
            </w:r>
          </w:p>
        </w:tc>
        <w:tc>
          <w:tcPr>
            <w:tcW w:w="1931" w:type="dxa"/>
          </w:tcPr>
          <w:p w14:paraId="18513E4E"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CEO SUMMIT БЕОГРАД</w:t>
            </w:r>
          </w:p>
          <w:p w14:paraId="7FCFFBA4"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01.децембар 2023.године </w:t>
            </w:r>
          </w:p>
          <w:p w14:paraId="68F5C374" w14:textId="77777777" w:rsidR="00875596" w:rsidRPr="00E564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Сава Центар</w:t>
            </w:r>
          </w:p>
        </w:tc>
        <w:tc>
          <w:tcPr>
            <w:tcW w:w="3431" w:type="dxa"/>
          </w:tcPr>
          <w:p w14:paraId="3758232A" w14:textId="77777777" w:rsidR="00875596" w:rsidRPr="00E564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Самит привредних лидера</w:t>
            </w:r>
          </w:p>
        </w:tc>
        <w:tc>
          <w:tcPr>
            <w:tcW w:w="1717" w:type="dxa"/>
          </w:tcPr>
          <w:p w14:paraId="4B49DCEC"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20"/>
                <w:szCs w:val="20"/>
                <w:lang w:val="sr-Cyrl-BA"/>
              </w:rPr>
            </w:pPr>
            <w:proofErr w:type="spellStart"/>
            <w:r w:rsidRPr="00E564A8">
              <w:rPr>
                <w:bCs/>
                <w:w w:val="107"/>
                <w:sz w:val="20"/>
                <w:szCs w:val="20"/>
                <w:lang w:val="sr-Cyrl-BA"/>
              </w:rPr>
              <w:t>Bam</w:t>
            </w:r>
            <w:proofErr w:type="spellEnd"/>
            <w:r w:rsidRPr="00E564A8">
              <w:rPr>
                <w:bCs/>
                <w:w w:val="107"/>
                <w:sz w:val="20"/>
                <w:szCs w:val="20"/>
                <w:lang w:val="sr-Cyrl-BA"/>
              </w:rPr>
              <w:t xml:space="preserve"> </w:t>
            </w:r>
            <w:proofErr w:type="spellStart"/>
            <w:r w:rsidRPr="00E564A8">
              <w:rPr>
                <w:bCs/>
                <w:w w:val="107"/>
                <w:sz w:val="20"/>
                <w:szCs w:val="20"/>
                <w:lang w:val="sr-Cyrl-BA"/>
              </w:rPr>
              <w:t>Consult</w:t>
            </w:r>
            <w:proofErr w:type="spellEnd"/>
          </w:p>
        </w:tc>
        <w:tc>
          <w:tcPr>
            <w:tcW w:w="2129" w:type="dxa"/>
          </w:tcPr>
          <w:p w14:paraId="6BAD1B54"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Амбасадор САД </w:t>
            </w:r>
            <w:proofErr w:type="spellStart"/>
            <w:r w:rsidRPr="00E564A8">
              <w:rPr>
                <w:sz w:val="20"/>
                <w:szCs w:val="20"/>
              </w:rPr>
              <w:t>Nј.E.Kristofer</w:t>
            </w:r>
            <w:proofErr w:type="spellEnd"/>
            <w:r w:rsidRPr="00E564A8">
              <w:rPr>
                <w:sz w:val="20"/>
                <w:szCs w:val="20"/>
              </w:rPr>
              <w:t xml:space="preserve"> Hil</w:t>
            </w:r>
          </w:p>
          <w:p w14:paraId="6AFE5E4C"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Александар Костић</w:t>
            </w:r>
          </w:p>
          <w:p w14:paraId="3B748252"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Милош </w:t>
            </w:r>
            <w:proofErr w:type="spellStart"/>
            <w:r w:rsidRPr="00E564A8">
              <w:rPr>
                <w:sz w:val="20"/>
                <w:szCs w:val="20"/>
                <w:lang w:val="sr-Cyrl-BA"/>
              </w:rPr>
              <w:t>Старовић</w:t>
            </w:r>
            <w:proofErr w:type="spellEnd"/>
          </w:p>
          <w:p w14:paraId="7FB84F3D"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Никола Вулетић</w:t>
            </w:r>
          </w:p>
          <w:p w14:paraId="5CC4D3FD"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Дејан </w:t>
            </w:r>
            <w:proofErr w:type="spellStart"/>
            <w:r w:rsidRPr="00E564A8">
              <w:rPr>
                <w:sz w:val="20"/>
                <w:szCs w:val="20"/>
                <w:lang w:val="sr-Cyrl-BA"/>
              </w:rPr>
              <w:t>Бодирога</w:t>
            </w:r>
            <w:proofErr w:type="spellEnd"/>
          </w:p>
          <w:p w14:paraId="0605826E" w14:textId="77777777" w:rsidR="00875596" w:rsidRPr="00E564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Cyrl-BA"/>
              </w:rPr>
            </w:pPr>
            <w:r w:rsidRPr="00E564A8">
              <w:rPr>
                <w:sz w:val="20"/>
                <w:szCs w:val="20"/>
                <w:lang w:val="sr-Cyrl-BA"/>
              </w:rPr>
              <w:t xml:space="preserve">Марко </w:t>
            </w:r>
            <w:proofErr w:type="spellStart"/>
            <w:r w:rsidRPr="00E564A8">
              <w:rPr>
                <w:sz w:val="20"/>
                <w:szCs w:val="20"/>
                <w:lang w:val="sr-Cyrl-BA"/>
              </w:rPr>
              <w:t>Чадеж</w:t>
            </w:r>
            <w:proofErr w:type="spellEnd"/>
          </w:p>
        </w:tc>
      </w:tr>
      <w:tr w:rsidR="00875596" w:rsidRPr="005373B3" w14:paraId="21182590" w14:textId="77777777" w:rsidTr="0041052D">
        <w:trPr>
          <w:cnfStyle w:val="000000100000" w:firstRow="0" w:lastRow="0" w:firstColumn="0" w:lastColumn="0" w:oddVBand="0" w:evenVBand="0" w:oddHBand="1" w:evenHBand="0" w:firstRowFirstColumn="0" w:firstRowLastColumn="0" w:lastRowFirstColumn="0" w:lastRowLastColumn="0"/>
          <w:trHeight w:val="1540"/>
          <w:jc w:val="center"/>
        </w:trPr>
        <w:tc>
          <w:tcPr>
            <w:cnfStyle w:val="001000000000" w:firstRow="0" w:lastRow="0" w:firstColumn="1" w:lastColumn="0" w:oddVBand="0" w:evenVBand="0" w:oddHBand="0" w:evenHBand="0" w:firstRowFirstColumn="0" w:firstRowLastColumn="0" w:lastRowFirstColumn="0" w:lastRowLastColumn="0"/>
            <w:tcW w:w="705" w:type="dxa"/>
          </w:tcPr>
          <w:p w14:paraId="140FD314" w14:textId="77777777" w:rsidR="00875596" w:rsidRPr="00E564A8" w:rsidRDefault="00875596" w:rsidP="00875596">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17.</w:t>
            </w:r>
          </w:p>
        </w:tc>
        <w:tc>
          <w:tcPr>
            <w:tcW w:w="1931" w:type="dxa"/>
          </w:tcPr>
          <w:p w14:paraId="3E21516D"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 xml:space="preserve">Примјена прописа о </w:t>
            </w:r>
            <w:proofErr w:type="spellStart"/>
            <w:r w:rsidRPr="00E564A8">
              <w:rPr>
                <w:bCs/>
                <w:sz w:val="20"/>
                <w:szCs w:val="20"/>
                <w:lang w:val="sr-Cyrl-BA"/>
              </w:rPr>
              <w:t>спречавању</w:t>
            </w:r>
            <w:proofErr w:type="spellEnd"/>
            <w:r w:rsidRPr="00E564A8">
              <w:rPr>
                <w:bCs/>
                <w:sz w:val="20"/>
                <w:szCs w:val="20"/>
                <w:lang w:val="sr-Cyrl-BA"/>
              </w:rPr>
              <w:t xml:space="preserve"> прања новца и финансирања терористичких активности у сектору хартија од вриједности, </w:t>
            </w:r>
            <w:proofErr w:type="spellStart"/>
            <w:r w:rsidRPr="00E564A8">
              <w:rPr>
                <w:bCs/>
                <w:sz w:val="20"/>
                <w:szCs w:val="20"/>
                <w:lang w:val="sr-Cyrl-BA"/>
              </w:rPr>
              <w:t>факторинга</w:t>
            </w:r>
            <w:proofErr w:type="spellEnd"/>
            <w:r w:rsidRPr="00E564A8">
              <w:rPr>
                <w:bCs/>
                <w:sz w:val="20"/>
                <w:szCs w:val="20"/>
                <w:lang w:val="sr-Cyrl-BA"/>
              </w:rPr>
              <w:t xml:space="preserve">, услуга повезаних са виртуелним валутама, осигурања и </w:t>
            </w:r>
            <w:proofErr w:type="spellStart"/>
            <w:r w:rsidRPr="00E564A8">
              <w:rPr>
                <w:bCs/>
                <w:sz w:val="20"/>
                <w:szCs w:val="20"/>
                <w:lang w:val="sr-Cyrl-BA"/>
              </w:rPr>
              <w:t>микрокредитних</w:t>
            </w:r>
            <w:proofErr w:type="spellEnd"/>
            <w:r w:rsidRPr="00E564A8">
              <w:rPr>
                <w:bCs/>
                <w:sz w:val="20"/>
                <w:szCs w:val="20"/>
                <w:lang w:val="sr-Cyrl-BA"/>
              </w:rPr>
              <w:t xml:space="preserve"> организација</w:t>
            </w:r>
          </w:p>
          <w:p w14:paraId="1F3D8E0E" w14:textId="77777777" w:rsidR="00875596" w:rsidRPr="00E564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E564A8">
              <w:rPr>
                <w:bCs/>
                <w:sz w:val="20"/>
                <w:szCs w:val="20"/>
                <w:lang w:val="sr-Cyrl-BA"/>
              </w:rPr>
              <w:t>(</w:t>
            </w:r>
            <w:proofErr w:type="spellStart"/>
            <w:r w:rsidRPr="00E564A8">
              <w:rPr>
                <w:bCs/>
                <w:sz w:val="20"/>
                <w:szCs w:val="20"/>
                <w:lang w:val="sr-Cyrl-BA"/>
              </w:rPr>
              <w:t>Wебинар</w:t>
            </w:r>
            <w:proofErr w:type="spellEnd"/>
            <w:r w:rsidRPr="00E564A8">
              <w:rPr>
                <w:bCs/>
                <w:sz w:val="20"/>
                <w:szCs w:val="20"/>
                <w:lang w:val="sr-Cyrl-BA"/>
              </w:rPr>
              <w:t>, 18.12.2023. године у 10 часова</w:t>
            </w:r>
          </w:p>
          <w:p w14:paraId="177F5F31" w14:textId="77777777" w:rsidR="00875596" w:rsidRPr="00E564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Cyrl-BA"/>
              </w:rPr>
            </w:pPr>
          </w:p>
        </w:tc>
        <w:tc>
          <w:tcPr>
            <w:tcW w:w="3431" w:type="dxa"/>
          </w:tcPr>
          <w:p w14:paraId="0C73A5CF" w14:textId="77777777" w:rsidR="00875596" w:rsidRPr="00E564A8" w:rsidRDefault="00875596"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Cyrl-BA" w:eastAsia="hr-HR"/>
              </w:rPr>
            </w:pPr>
            <w:r w:rsidRPr="00E564A8">
              <w:rPr>
                <w:sz w:val="20"/>
                <w:szCs w:val="20"/>
                <w:lang w:val="sr-Cyrl-BA"/>
              </w:rPr>
              <w:t xml:space="preserve">Нови Закон о </w:t>
            </w:r>
            <w:r w:rsidRPr="00E564A8">
              <w:rPr>
                <w:rFonts w:eastAsia="TimesNewRomanPSMT"/>
                <w:sz w:val="20"/>
                <w:szCs w:val="20"/>
                <w:lang w:val="sr-Cyrl-BA"/>
              </w:rPr>
              <w:t>СПН/ФТА:  Шта  нам доноси нови Закон? Шта се очекује од надзорних органа и обвезника након усвајања новог</w:t>
            </w:r>
            <w:r w:rsidRPr="00E564A8">
              <w:rPr>
                <w:sz w:val="20"/>
                <w:szCs w:val="20"/>
                <w:lang w:val="sr-Cyrl-BA"/>
              </w:rPr>
              <w:t xml:space="preserve"> Закона о </w:t>
            </w:r>
            <w:r w:rsidRPr="00E564A8">
              <w:rPr>
                <w:rFonts w:eastAsia="TimesNewRomanPSMT"/>
                <w:sz w:val="20"/>
                <w:szCs w:val="20"/>
                <w:lang w:val="sr-Cyrl-BA"/>
              </w:rPr>
              <w:t>СПН/ФТА?</w:t>
            </w:r>
          </w:p>
          <w:p w14:paraId="4BACA2DB" w14:textId="77777777" w:rsidR="00875596" w:rsidRPr="00E564A8" w:rsidRDefault="00875596"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Cyrl-BA" w:eastAsia="hr-HR"/>
              </w:rPr>
            </w:pPr>
            <w:r w:rsidRPr="00E564A8">
              <w:rPr>
                <w:sz w:val="20"/>
                <w:szCs w:val="20"/>
                <w:lang w:val="sr-Cyrl-BA"/>
              </w:rPr>
              <w:t>Евалуацију МОНЕYВАЛ-а - обавезе надзорних органа и обвезника у овом процесу</w:t>
            </w:r>
          </w:p>
          <w:p w14:paraId="38F08F4A" w14:textId="77777777" w:rsidR="00875596" w:rsidRPr="00E564A8" w:rsidRDefault="00875596"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Cyrl-BA" w:eastAsia="hr-HR"/>
              </w:rPr>
            </w:pPr>
            <w:r w:rsidRPr="00E564A8">
              <w:rPr>
                <w:sz w:val="20"/>
                <w:szCs w:val="20"/>
                <w:lang w:val="sr-Cyrl-BA"/>
              </w:rPr>
              <w:t xml:space="preserve">Допуну процјене ризика </w:t>
            </w:r>
            <w:r w:rsidRPr="00E564A8">
              <w:rPr>
                <w:rFonts w:eastAsia="TimesNewRomanPSMT"/>
                <w:sz w:val="20"/>
                <w:szCs w:val="20"/>
                <w:lang w:val="sr-Cyrl-BA"/>
              </w:rPr>
              <w:t>ПН/ФТА и Акциони план</w:t>
            </w:r>
            <w:r w:rsidRPr="00E564A8">
              <w:rPr>
                <w:sz w:val="20"/>
                <w:szCs w:val="20"/>
                <w:lang w:val="sr-Cyrl-BA"/>
              </w:rPr>
              <w:t xml:space="preserve"> - сектор хартија од вриједности, </w:t>
            </w:r>
            <w:proofErr w:type="spellStart"/>
            <w:r w:rsidRPr="00E564A8">
              <w:rPr>
                <w:sz w:val="20"/>
                <w:szCs w:val="20"/>
                <w:lang w:val="sr-Cyrl-BA"/>
              </w:rPr>
              <w:t>факторинг</w:t>
            </w:r>
            <w:proofErr w:type="spellEnd"/>
            <w:r w:rsidRPr="00E564A8">
              <w:rPr>
                <w:sz w:val="20"/>
                <w:szCs w:val="20"/>
                <w:lang w:val="sr-Cyrl-BA"/>
              </w:rPr>
              <w:t xml:space="preserve">, услуга повезаних са виртуелним валутама, осигурања и </w:t>
            </w:r>
            <w:proofErr w:type="spellStart"/>
            <w:r w:rsidRPr="00E564A8">
              <w:rPr>
                <w:sz w:val="20"/>
                <w:szCs w:val="20"/>
                <w:lang w:val="sr-Cyrl-BA"/>
              </w:rPr>
              <w:t>микрокредитне</w:t>
            </w:r>
            <w:proofErr w:type="spellEnd"/>
            <w:r w:rsidRPr="00E564A8">
              <w:rPr>
                <w:sz w:val="20"/>
                <w:szCs w:val="20"/>
                <w:lang w:val="sr-Cyrl-BA"/>
              </w:rPr>
              <w:t xml:space="preserve"> организације</w:t>
            </w:r>
            <w:r w:rsidRPr="00E564A8">
              <w:rPr>
                <w:iCs/>
                <w:sz w:val="20"/>
                <w:szCs w:val="20"/>
                <w:lang w:val="sr-Cyrl-BA"/>
              </w:rPr>
              <w:t xml:space="preserve"> (пријетње и рањивост система),</w:t>
            </w:r>
          </w:p>
          <w:p w14:paraId="7FB5DAA7" w14:textId="77777777" w:rsidR="00875596" w:rsidRPr="00E564A8" w:rsidRDefault="00875596"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Cyrl-BA" w:eastAsia="hr-HR"/>
              </w:rPr>
            </w:pPr>
            <w:r w:rsidRPr="00E564A8">
              <w:rPr>
                <w:sz w:val="20"/>
                <w:szCs w:val="20"/>
                <w:lang w:val="sr-Cyrl-BA"/>
              </w:rPr>
              <w:t>Прање новца у БиХ повезано са виртуелном имовином,</w:t>
            </w:r>
          </w:p>
          <w:p w14:paraId="7E923186" w14:textId="77777777" w:rsidR="00875596" w:rsidRPr="00E564A8" w:rsidRDefault="00875596"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Cyrl-BA" w:eastAsia="hr-HR"/>
              </w:rPr>
            </w:pPr>
            <w:r w:rsidRPr="00E564A8">
              <w:rPr>
                <w:rFonts w:eastAsia="TimesNewRomanPSMT"/>
                <w:sz w:val="20"/>
                <w:szCs w:val="20"/>
                <w:lang w:val="sr-Cyrl-BA" w:eastAsia="hr-HR"/>
              </w:rPr>
              <w:t>Рестриктивне мјере,</w:t>
            </w:r>
          </w:p>
          <w:p w14:paraId="4982E16F" w14:textId="77777777" w:rsidR="00875596" w:rsidRPr="00E564A8" w:rsidRDefault="00875596" w:rsidP="00875596">
            <w:pPr>
              <w:keepNext/>
              <w:keepLines/>
              <w:tabs>
                <w:tab w:val="left" w:pos="240"/>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b/>
                <w:bCs/>
                <w:sz w:val="20"/>
                <w:szCs w:val="20"/>
                <w:lang w:val="sr-Cyrl-BA"/>
              </w:rPr>
            </w:pPr>
            <w:r w:rsidRPr="00E564A8">
              <w:rPr>
                <w:sz w:val="20"/>
                <w:szCs w:val="20"/>
                <w:lang w:val="sr-Cyrl-BA"/>
              </w:rPr>
              <w:t>Типологије прања новца и студије случаја</w:t>
            </w:r>
            <w:r w:rsidRPr="00E564A8">
              <w:rPr>
                <w:sz w:val="20"/>
                <w:szCs w:val="20"/>
                <w:lang w:val="sr-Cyrl-BA" w:eastAsia="hr-HR"/>
              </w:rPr>
              <w:t xml:space="preserve"> </w:t>
            </w:r>
            <w:r w:rsidRPr="00E564A8">
              <w:rPr>
                <w:sz w:val="20"/>
                <w:szCs w:val="20"/>
                <w:lang w:val="sr-Cyrl-BA"/>
              </w:rPr>
              <w:t xml:space="preserve">у вези са хартија од вриједности, </w:t>
            </w:r>
            <w:proofErr w:type="spellStart"/>
            <w:r w:rsidRPr="00E564A8">
              <w:rPr>
                <w:sz w:val="20"/>
                <w:szCs w:val="20"/>
                <w:lang w:val="sr-Cyrl-BA"/>
              </w:rPr>
              <w:t>факторингом</w:t>
            </w:r>
            <w:proofErr w:type="spellEnd"/>
            <w:r w:rsidRPr="00E564A8">
              <w:rPr>
                <w:sz w:val="20"/>
                <w:szCs w:val="20"/>
                <w:lang w:val="sr-Cyrl-BA"/>
              </w:rPr>
              <w:t xml:space="preserve">, услугама повезаних са виртуелним валутама осигурањем и </w:t>
            </w:r>
            <w:proofErr w:type="spellStart"/>
            <w:r w:rsidRPr="00E564A8">
              <w:rPr>
                <w:sz w:val="20"/>
                <w:szCs w:val="20"/>
                <w:lang w:val="sr-Cyrl-BA"/>
              </w:rPr>
              <w:t>микрокредитним</w:t>
            </w:r>
            <w:proofErr w:type="spellEnd"/>
            <w:r w:rsidRPr="00E564A8">
              <w:rPr>
                <w:sz w:val="20"/>
                <w:szCs w:val="20"/>
                <w:lang w:val="sr-Cyrl-BA"/>
              </w:rPr>
              <w:t xml:space="preserve"> сектором.</w:t>
            </w:r>
          </w:p>
        </w:tc>
        <w:tc>
          <w:tcPr>
            <w:tcW w:w="1717" w:type="dxa"/>
          </w:tcPr>
          <w:p w14:paraId="3D0F2DA0" w14:textId="77777777" w:rsidR="00875596" w:rsidRPr="00E564A8" w:rsidRDefault="00875596" w:rsidP="00875596">
            <w:pPr>
              <w:pStyle w:val="ListParagraph"/>
              <w:numPr>
                <w:ilvl w:val="0"/>
                <w:numId w:val="43"/>
              </w:numPr>
              <w:tabs>
                <w:tab w:val="left" w:pos="204"/>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b/>
                <w:w w:val="107"/>
                <w:sz w:val="20"/>
                <w:szCs w:val="20"/>
                <w:lang w:val="sr-Cyrl-BA"/>
              </w:rPr>
            </w:pPr>
            <w:r w:rsidRPr="00E564A8">
              <w:rPr>
                <w:rFonts w:eastAsia="TimesNewRomanPSMT"/>
                <w:sz w:val="20"/>
                <w:szCs w:val="20"/>
                <w:lang w:val="sr-Cyrl-BA"/>
              </w:rPr>
              <w:t>Комисија за хартије од вриједности Републике Српске,</w:t>
            </w:r>
          </w:p>
          <w:p w14:paraId="0A5625D9" w14:textId="77777777" w:rsidR="00875596" w:rsidRPr="00E564A8" w:rsidRDefault="00875596" w:rsidP="00875596">
            <w:pPr>
              <w:pStyle w:val="ListParagraph"/>
              <w:numPr>
                <w:ilvl w:val="0"/>
                <w:numId w:val="43"/>
              </w:numPr>
              <w:tabs>
                <w:tab w:val="left" w:pos="204"/>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b/>
                <w:w w:val="107"/>
                <w:sz w:val="20"/>
                <w:szCs w:val="20"/>
                <w:lang w:val="sr-Cyrl-BA"/>
              </w:rPr>
            </w:pPr>
            <w:r w:rsidRPr="00E564A8">
              <w:rPr>
                <w:rFonts w:eastAsia="TimesNewRomanPSMT"/>
                <w:sz w:val="20"/>
                <w:szCs w:val="20"/>
                <w:lang w:val="sr-Cyrl-BA"/>
              </w:rPr>
              <w:t xml:space="preserve">Агенција за осигурање Републике Српске  и </w:t>
            </w:r>
          </w:p>
          <w:p w14:paraId="25F6BDB1" w14:textId="77777777" w:rsidR="00875596" w:rsidRPr="00E564A8" w:rsidRDefault="00875596" w:rsidP="00875596">
            <w:pPr>
              <w:tabs>
                <w:tab w:val="left" w:pos="20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Cyrl-BA"/>
              </w:rPr>
            </w:pPr>
            <w:r w:rsidRPr="00E564A8">
              <w:rPr>
                <w:rFonts w:eastAsia="TimesNewRomanPSMT"/>
                <w:sz w:val="20"/>
                <w:szCs w:val="20"/>
                <w:lang w:val="sr-Cyrl-BA"/>
              </w:rPr>
              <w:t>Агенција за банкарство Републике Српске</w:t>
            </w:r>
          </w:p>
        </w:tc>
        <w:tc>
          <w:tcPr>
            <w:tcW w:w="2129" w:type="dxa"/>
          </w:tcPr>
          <w:p w14:paraId="05D7EA33" w14:textId="77777777" w:rsidR="00875596" w:rsidRPr="00E564A8" w:rsidRDefault="00875596" w:rsidP="00875596">
            <w:pPr>
              <w:numPr>
                <w:ilvl w:val="0"/>
                <w:numId w:val="43"/>
              </w:numPr>
              <w:tabs>
                <w:tab w:val="left" w:pos="240"/>
              </w:tabs>
              <w:spacing w:after="0" w:line="240" w:lineRule="auto"/>
              <w:ind w:left="0"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Рајко Ћук, Министарство унутрашњих послова Републике Српске,</w:t>
            </w:r>
          </w:p>
          <w:p w14:paraId="47405129" w14:textId="77777777" w:rsidR="00875596" w:rsidRPr="00E564A8" w:rsidRDefault="00875596" w:rsidP="00875596">
            <w:pPr>
              <w:numPr>
                <w:ilvl w:val="0"/>
                <w:numId w:val="43"/>
              </w:numPr>
              <w:tabs>
                <w:tab w:val="left" w:pos="240"/>
              </w:tabs>
              <w:spacing w:after="0" w:line="240" w:lineRule="auto"/>
              <w:ind w:left="0"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Cyrl-BA"/>
              </w:rPr>
            </w:pPr>
            <w:r w:rsidRPr="00E564A8">
              <w:rPr>
                <w:rFonts w:eastAsia="Calibri"/>
                <w:sz w:val="20"/>
                <w:szCs w:val="20"/>
                <w:lang w:val="sr-Cyrl-BA"/>
              </w:rPr>
              <w:t xml:space="preserve">Борислав </w:t>
            </w:r>
            <w:proofErr w:type="spellStart"/>
            <w:r w:rsidRPr="00E564A8">
              <w:rPr>
                <w:rFonts w:eastAsia="Calibri"/>
                <w:sz w:val="20"/>
                <w:szCs w:val="20"/>
                <w:lang w:val="sr-Cyrl-BA"/>
              </w:rPr>
              <w:t>Чворо</w:t>
            </w:r>
            <w:proofErr w:type="spellEnd"/>
            <w:r w:rsidRPr="00E564A8">
              <w:rPr>
                <w:rFonts w:eastAsia="Calibri"/>
                <w:sz w:val="20"/>
                <w:szCs w:val="20"/>
                <w:lang w:val="sr-Cyrl-BA"/>
              </w:rPr>
              <w:t>, Државна агенција за истраге и заштиту -СИПА и</w:t>
            </w:r>
          </w:p>
          <w:p w14:paraId="0976794D" w14:textId="77777777" w:rsidR="00875596" w:rsidRPr="00E564A8" w:rsidRDefault="00875596" w:rsidP="00875596">
            <w:pPr>
              <w:tabs>
                <w:tab w:val="left" w:pos="24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Cyrl-BA"/>
              </w:rPr>
            </w:pPr>
            <w:r w:rsidRPr="00E564A8">
              <w:rPr>
                <w:rFonts w:eastAsia="Calibri"/>
                <w:sz w:val="20"/>
                <w:szCs w:val="20"/>
                <w:lang w:val="sr-Cyrl-BA"/>
              </w:rPr>
              <w:t>Никола Шљивар, Управа за индиректно опорезивање Босне и Херцеговине</w:t>
            </w:r>
          </w:p>
        </w:tc>
      </w:tr>
    </w:tbl>
    <w:bookmarkEnd w:id="89"/>
    <w:p w14:paraId="37A930F9" w14:textId="769D528F" w:rsidR="009628CE" w:rsidRPr="00EC6422" w:rsidRDefault="009628CE" w:rsidP="006B6E0C">
      <w:pPr>
        <w:pStyle w:val="Caption"/>
        <w:tabs>
          <w:tab w:val="left" w:pos="1276"/>
        </w:tabs>
        <w:spacing w:after="0"/>
        <w:ind w:left="1276" w:hanging="1276"/>
        <w:jc w:val="both"/>
        <w:rPr>
          <w:rFonts w:ascii="Times New Roman" w:hAnsi="Times New Roman"/>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C64B5B">
        <w:rPr>
          <w:rFonts w:ascii="Times New Roman" w:hAnsi="Times New Roman"/>
          <w:noProof/>
          <w:sz w:val="24"/>
          <w:szCs w:val="24"/>
          <w:lang w:val="sr-Cyrl-BA"/>
        </w:rPr>
        <w:t>19</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proofErr w:type="spellStart"/>
      <w:r w:rsidRPr="00EC6422">
        <w:rPr>
          <w:rFonts w:ascii="Times New Roman" w:hAnsi="Times New Roman"/>
          <w:b w:val="0"/>
          <w:sz w:val="24"/>
          <w:szCs w:val="24"/>
          <w:lang w:val="sr-Cyrl-BA"/>
        </w:rPr>
        <w:t>Преглед</w:t>
      </w:r>
      <w:proofErr w:type="spellEnd"/>
      <w:r w:rsidRPr="00EC6422">
        <w:rPr>
          <w:rFonts w:ascii="Times New Roman" w:hAnsi="Times New Roman"/>
          <w:b w:val="0"/>
          <w:sz w:val="24"/>
          <w:szCs w:val="24"/>
          <w:lang w:val="sr-Cyrl-BA"/>
        </w:rPr>
        <w:t xml:space="preserve"> едукативних активности Комисије у </w:t>
      </w:r>
      <w:r w:rsidR="00875596">
        <w:rPr>
          <w:rFonts w:ascii="Times New Roman" w:hAnsi="Times New Roman"/>
          <w:b w:val="0"/>
          <w:sz w:val="24"/>
          <w:szCs w:val="24"/>
          <w:lang w:val="sr-Cyrl-BA"/>
        </w:rPr>
        <w:t>2023</w:t>
      </w:r>
      <w:r w:rsidRPr="00EC6422">
        <w:rPr>
          <w:rFonts w:ascii="Times New Roman" w:hAnsi="Times New Roman"/>
          <w:b w:val="0"/>
          <w:sz w:val="24"/>
          <w:szCs w:val="24"/>
          <w:lang w:val="sr-Cyrl-BA"/>
        </w:rPr>
        <w:t>. години</w:t>
      </w:r>
    </w:p>
    <w:p w14:paraId="70C89C04" w14:textId="77777777" w:rsidR="00B60F0E" w:rsidRPr="00EC6422" w:rsidRDefault="009628CE" w:rsidP="006B6E0C">
      <w:pPr>
        <w:spacing w:line="240" w:lineRule="auto"/>
        <w:ind w:firstLine="567"/>
        <w:rPr>
          <w:lang w:val="sr-Cyrl-BA" w:eastAsia="sr-Latn-CS"/>
        </w:rPr>
      </w:pPr>
      <w:r w:rsidRPr="00EC6422">
        <w:rPr>
          <w:lang w:val="sr-Cyrl-BA"/>
        </w:rPr>
        <w:t xml:space="preserve">Излагањем радова и путем контаката се учесницима на наведеним скуповима, представници Комисије </w:t>
      </w:r>
      <w:r w:rsidRPr="00EC6422">
        <w:rPr>
          <w:color w:val="000000"/>
          <w:lang w:val="sr-Cyrl-BA" w:eastAsia="sr-Latn-CS"/>
        </w:rPr>
        <w:t>афирмисали су</w:t>
      </w:r>
      <w:r w:rsidRPr="00EC6422">
        <w:rPr>
          <w:lang w:val="sr-Cyrl-BA"/>
        </w:rPr>
        <w:t xml:space="preserve"> тржиште хартија од вриједности Републике Српске са циљем привлачења страних инвеститора кроз овај облик инвестиционих улагања.</w:t>
      </w:r>
    </w:p>
    <w:sectPr w:rsidR="00B60F0E" w:rsidRPr="00EC6422" w:rsidSect="00A63871">
      <w:footerReference w:type="default" r:id="rId23"/>
      <w:pgSz w:w="11906" w:h="16838" w:code="9"/>
      <w:pgMar w:top="1418" w:right="113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B22B4" w14:textId="77777777" w:rsidR="0001484A" w:rsidRDefault="0001484A" w:rsidP="009628CE">
      <w:pPr>
        <w:spacing w:before="0" w:after="0" w:line="240" w:lineRule="auto"/>
      </w:pPr>
      <w:r>
        <w:separator/>
      </w:r>
    </w:p>
  </w:endnote>
  <w:endnote w:type="continuationSeparator" w:id="0">
    <w:p w14:paraId="50405402" w14:textId="77777777" w:rsidR="0001484A" w:rsidRDefault="0001484A" w:rsidP="00962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01"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MS Reference Sans Serif">
    <w:panose1 w:val="020B060403050404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007318ED" w14:textId="77777777" w:rsidR="00FC63D2" w:rsidRPr="00A63871" w:rsidRDefault="00FC63D2" w:rsidP="00322730">
        <w:pPr>
          <w:pStyle w:val="Footer"/>
          <w:jc w:val="right"/>
        </w:pPr>
        <w:r w:rsidRPr="00A63871">
          <w:fldChar w:fldCharType="begin"/>
        </w:r>
        <w:r w:rsidRPr="00A63871">
          <w:instrText xml:space="preserve"> PAGE   \* MERGEFORMAT </w:instrText>
        </w:r>
        <w:r w:rsidRPr="00A63871">
          <w:fldChar w:fldCharType="separate"/>
        </w:r>
        <w:r w:rsidRPr="00A63871">
          <w:rPr>
            <w:noProof/>
          </w:rPr>
          <w:t>35</w:t>
        </w:r>
        <w:r w:rsidRPr="00A6387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CCD1" w14:textId="77777777" w:rsidR="0001484A" w:rsidRDefault="0001484A" w:rsidP="009628CE">
      <w:pPr>
        <w:spacing w:before="0" w:after="0" w:line="240" w:lineRule="auto"/>
      </w:pPr>
      <w:r>
        <w:separator/>
      </w:r>
    </w:p>
  </w:footnote>
  <w:footnote w:type="continuationSeparator" w:id="0">
    <w:p w14:paraId="3D6E2322" w14:textId="77777777" w:rsidR="0001484A" w:rsidRDefault="0001484A" w:rsidP="009628CE">
      <w:pPr>
        <w:spacing w:before="0" w:after="0" w:line="240" w:lineRule="auto"/>
      </w:pPr>
      <w:r>
        <w:continuationSeparator/>
      </w:r>
    </w:p>
  </w:footnote>
  <w:footnote w:id="1">
    <w:p w14:paraId="3560685F" w14:textId="3B6DB3A1" w:rsidR="00FC63D2" w:rsidRPr="005E4D28" w:rsidRDefault="00FC63D2" w:rsidP="000A10DE">
      <w:pPr>
        <w:pStyle w:val="FootnoteText"/>
        <w:spacing w:after="0"/>
        <w:rPr>
          <w:lang w:val="en-US"/>
        </w:rPr>
      </w:pPr>
      <w:r w:rsidRPr="005E4D28">
        <w:rPr>
          <w:rStyle w:val="FootnoteReference"/>
        </w:rPr>
        <w:footnoteRef/>
      </w:r>
      <w:r w:rsidRPr="005E4D28">
        <w:t xml:space="preserve"> </w:t>
      </w:r>
      <w:r w:rsidRPr="005E4D28">
        <w:rPr>
          <w:lang w:val="sr-Cyrl-BA"/>
        </w:rPr>
        <w:t>„Службени гласник Републике Српске“ бр.  92/06, 34/09, 30/12, 59/13, 108/13</w:t>
      </w:r>
      <w:r>
        <w:rPr>
          <w:lang w:val="sr-Cyrl-BA"/>
        </w:rPr>
        <w:t>,</w:t>
      </w:r>
      <w:r w:rsidRPr="005E4D28">
        <w:rPr>
          <w:lang w:val="sr-Cyrl-BA"/>
        </w:rPr>
        <w:t xml:space="preserve"> </w:t>
      </w:r>
      <w:r>
        <w:rPr>
          <w:lang w:val="sr-Latn-BA"/>
        </w:rPr>
        <w:t>4</w:t>
      </w:r>
      <w:r>
        <w:rPr>
          <w:lang w:val="sr-Cyrl-BA"/>
        </w:rPr>
        <w:t>/17</w:t>
      </w:r>
      <w:r>
        <w:rPr>
          <w:lang w:val="sr-Latn-BA"/>
        </w:rPr>
        <w:t xml:space="preserve"> , </w:t>
      </w:r>
      <w:r>
        <w:rPr>
          <w:lang w:val="sr-Cyrl-BA"/>
        </w:rPr>
        <w:t>63/21</w:t>
      </w:r>
      <w:r>
        <w:rPr>
          <w:lang w:val="en-US"/>
        </w:rPr>
        <w:t xml:space="preserve">, 11/22 </w:t>
      </w:r>
      <w:r>
        <w:rPr>
          <w:lang w:val="sr-Cyrl-BA"/>
        </w:rPr>
        <w:t>и 63/22</w:t>
      </w:r>
      <w:r w:rsidRPr="005E4D28">
        <w:rPr>
          <w:lang w:val="en-US"/>
        </w:rPr>
        <w:t>.</w:t>
      </w:r>
    </w:p>
  </w:footnote>
  <w:footnote w:id="2">
    <w:p w14:paraId="28BBA962" w14:textId="6940DF86" w:rsidR="00FC63D2" w:rsidRPr="005E4D28" w:rsidRDefault="00FC63D2" w:rsidP="000A10DE">
      <w:pPr>
        <w:pStyle w:val="FootnoteText"/>
        <w:spacing w:after="0"/>
        <w:rPr>
          <w:lang w:val="sr-Latn-BA"/>
        </w:rPr>
      </w:pPr>
      <w:r w:rsidRPr="005E4D28">
        <w:rPr>
          <w:rStyle w:val="FootnoteReference"/>
        </w:rPr>
        <w:footnoteRef/>
      </w:r>
      <w:r w:rsidRPr="005E4D28">
        <w:t xml:space="preserve"> </w:t>
      </w:r>
      <w:r w:rsidRPr="005E4D28">
        <w:rPr>
          <w:lang w:val="sr-Cyrl-BA"/>
        </w:rPr>
        <w:t>Службени гласник Републике Српске, број</w:t>
      </w:r>
      <w:r w:rsidRPr="005E4D28">
        <w:rPr>
          <w:lang w:val="sr-Latn-BA"/>
        </w:rPr>
        <w:t xml:space="preserve"> </w:t>
      </w:r>
      <w:r w:rsidR="0091431E" w:rsidRPr="00192C67">
        <w:rPr>
          <w:lang w:val="sr-Cyrl-BA"/>
        </w:rPr>
        <w:t>99/21</w:t>
      </w:r>
      <w:r w:rsidR="0091431E" w:rsidRPr="00192C67">
        <w:t xml:space="preserve">, </w:t>
      </w:r>
      <w:r w:rsidR="0091431E" w:rsidRPr="00192C67">
        <w:rPr>
          <w:lang w:val="sr-Cyrl-BA"/>
        </w:rPr>
        <w:t>14</w:t>
      </w:r>
      <w:r w:rsidR="0091431E" w:rsidRPr="00192C67">
        <w:t>/</w:t>
      </w:r>
      <w:r w:rsidR="0091431E" w:rsidRPr="00192C67">
        <w:rPr>
          <w:lang w:val="sr-Cyrl-BA"/>
        </w:rPr>
        <w:t xml:space="preserve">22, </w:t>
      </w:r>
      <w:r w:rsidR="0091431E" w:rsidRPr="00192C67">
        <w:t>81/22</w:t>
      </w:r>
      <w:r w:rsidR="0091431E" w:rsidRPr="00192C67">
        <w:rPr>
          <w:lang w:val="sr-Cyrl-BA"/>
        </w:rPr>
        <w:t>, 29/23 и 69/23</w:t>
      </w:r>
      <w:r w:rsidRPr="005E4D28">
        <w:rPr>
          <w:lang w:val="sr-Cyrl-BA"/>
        </w:rPr>
        <w:t>.</w:t>
      </w:r>
    </w:p>
  </w:footnote>
  <w:footnote w:id="3">
    <w:p w14:paraId="5A5B405E" w14:textId="77777777" w:rsidR="00FC63D2" w:rsidRPr="004267FB" w:rsidRDefault="00FC63D2" w:rsidP="000A10DE">
      <w:pPr>
        <w:pStyle w:val="FootnoteText"/>
        <w:spacing w:after="0"/>
        <w:rPr>
          <w:lang w:val="sr-Cyrl-BA"/>
        </w:rPr>
      </w:pPr>
      <w:r>
        <w:rPr>
          <w:rStyle w:val="FootnoteReference"/>
        </w:rPr>
        <w:footnoteRef/>
      </w:r>
      <w:r>
        <w:t xml:space="preserve"> </w:t>
      </w:r>
      <w:r>
        <w:rPr>
          <w:lang w:val="sr-Cyrl-BA"/>
        </w:rPr>
        <w:t>„</w:t>
      </w:r>
      <w:r w:rsidRPr="00294897">
        <w:rPr>
          <w:lang w:val="sr-Cyrl-BA"/>
        </w:rPr>
        <w:t>Службени гласник Републи</w:t>
      </w:r>
      <w:r>
        <w:rPr>
          <w:lang w:val="sr-Cyrl-BA"/>
        </w:rPr>
        <w:t xml:space="preserve">ке Српске“, број 60/12, 111/12, </w:t>
      </w:r>
      <w:r w:rsidRPr="00294897">
        <w:rPr>
          <w:lang w:val="sr-Cyrl-BA"/>
        </w:rPr>
        <w:t>50/14</w:t>
      </w:r>
      <w:r>
        <w:rPr>
          <w:lang w:val="sr-Latn-BA"/>
        </w:rPr>
        <w:t>,</w:t>
      </w:r>
      <w:r>
        <w:rPr>
          <w:lang w:val="sr-Cyrl-BA"/>
        </w:rPr>
        <w:t xml:space="preserve"> </w:t>
      </w:r>
      <w:r w:rsidRPr="00742706">
        <w:rPr>
          <w:lang w:val="sr-Cyrl-BA"/>
        </w:rPr>
        <w:t>103/20 и 99/21</w:t>
      </w:r>
      <w:r>
        <w:rPr>
          <w:lang w:val="sr-Cyrl-BA"/>
        </w:rPr>
        <w:t>.</w:t>
      </w:r>
    </w:p>
  </w:footnote>
  <w:footnote w:id="4">
    <w:p w14:paraId="79C14617" w14:textId="77777777" w:rsidR="00FC63D2" w:rsidRDefault="00FC63D2" w:rsidP="000A10DE">
      <w:pPr>
        <w:pStyle w:val="FootnoteText"/>
        <w:spacing w:after="0"/>
        <w:jc w:val="both"/>
        <w:rPr>
          <w:lang w:val="sr-Cyrl-BA"/>
        </w:rPr>
      </w:pPr>
      <w:r>
        <w:rPr>
          <w:rStyle w:val="FootnoteReference"/>
          <w:rFonts w:eastAsiaTheme="majorEastAsia"/>
        </w:rPr>
        <w:footnoteRef/>
      </w:r>
      <w:r>
        <w:t xml:space="preserve"> </w:t>
      </w:r>
      <w:r>
        <w:rPr>
          <w:lang w:val="sr-Cyrl-BA"/>
        </w:rPr>
        <w:t>У 2020. години Правилник је промијењен у дијелу који се тиче усаглашавања са Правилником о условима и поступку емисије хартија од вриједности у дијелу који се тиче документације која се објављује у поступку емисије хартија од вриједности, као значајни догађај, те у смислу допуне значајних догађаја.</w:t>
      </w:r>
    </w:p>
  </w:footnote>
  <w:footnote w:id="5">
    <w:p w14:paraId="1C06B77E" w14:textId="77777777" w:rsidR="003421E1" w:rsidRPr="0061148A" w:rsidRDefault="003421E1" w:rsidP="004353DF">
      <w:pPr>
        <w:pStyle w:val="FootnoteText"/>
        <w:spacing w:after="0"/>
        <w:jc w:val="both"/>
        <w:rPr>
          <w:lang w:val="sr-Cyrl-BA"/>
        </w:rPr>
      </w:pPr>
      <w:r w:rsidRPr="0061148A">
        <w:rPr>
          <w:rStyle w:val="FootnoteReference"/>
        </w:rPr>
        <w:footnoteRef/>
      </w:r>
      <w:r w:rsidRPr="0061148A">
        <w:t xml:space="preserve"> </w:t>
      </w:r>
      <w:r w:rsidRPr="0061148A">
        <w:rPr>
          <w:lang w:val="sr-Cyrl-BA"/>
        </w:rPr>
        <w:t xml:space="preserve">Измјеном члана 309. став 1. Закона о привредним друштвима („Службени гласник Републике Српске“, број 17/23) обавезан је </w:t>
      </w:r>
      <w:r w:rsidRPr="0061148A">
        <w:rPr>
          <w:lang w:val="ru-RU"/>
        </w:rPr>
        <w:t xml:space="preserve">управни одбор и оних </w:t>
      </w:r>
      <w:r w:rsidRPr="0061148A">
        <w:rPr>
          <w:lang w:val="sr-Cyrl-BA"/>
        </w:rPr>
        <w:t>отворених акционарског друштва чије акције нису уврштене  на службено берзанско тржиште</w:t>
      </w:r>
      <w:r w:rsidRPr="0061148A">
        <w:rPr>
          <w:lang w:val="ru-RU"/>
        </w:rPr>
        <w:t xml:space="preserve"> да донесу свој писани кодекс понашања или прихвате стандарде корпоративног управљања које доноси Комисија за хартије од вриједности Републике Српске.</w:t>
      </w:r>
    </w:p>
  </w:footnote>
  <w:footnote w:id="6">
    <w:p w14:paraId="5A4502EF" w14:textId="130F5FC2" w:rsidR="003421E1" w:rsidRPr="003421E1" w:rsidRDefault="003421E1" w:rsidP="004353DF">
      <w:pPr>
        <w:pStyle w:val="FootnoteText"/>
        <w:spacing w:after="0"/>
        <w:rPr>
          <w:lang w:val="sr-Cyrl-BA"/>
        </w:rPr>
      </w:pPr>
      <w:r>
        <w:rPr>
          <w:rStyle w:val="FootnoteReference"/>
        </w:rPr>
        <w:footnoteRef/>
      </w:r>
      <w:r>
        <w:t xml:space="preserve"> </w:t>
      </w:r>
      <w:r w:rsidRPr="00192C67">
        <w:rPr>
          <w:lang w:val="sr-Cyrl-BA"/>
        </w:rPr>
        <w:t>„Службени гласник Републике Српске“, број 94/15 и 78/20</w:t>
      </w:r>
      <w:r>
        <w:rPr>
          <w:lang w:val="sr-Cyrl-BA"/>
        </w:rPr>
        <w:t>.</w:t>
      </w:r>
    </w:p>
  </w:footnote>
  <w:footnote w:id="7">
    <w:p w14:paraId="7C5FBFE6" w14:textId="77777777" w:rsidR="00FC63D2" w:rsidRPr="00312907" w:rsidRDefault="00FC63D2" w:rsidP="000A10DE">
      <w:pPr>
        <w:pStyle w:val="FootnoteText"/>
        <w:spacing w:after="0"/>
        <w:rPr>
          <w:lang w:val="sr-Cyrl-BA"/>
        </w:rPr>
      </w:pPr>
      <w:r>
        <w:rPr>
          <w:rStyle w:val="FootnoteReference"/>
        </w:rPr>
        <w:footnoteRef/>
      </w:r>
      <w:r>
        <w:t xml:space="preserve"> </w:t>
      </w:r>
      <w:r>
        <w:rPr>
          <w:lang w:val="sr-Cyrl-BA"/>
        </w:rPr>
        <w:t>„Службени гласник Републике Српске“, број 65/08, 92/09 и 59/13.</w:t>
      </w:r>
    </w:p>
  </w:footnote>
  <w:footnote w:id="8">
    <w:p w14:paraId="038312BD" w14:textId="77777777" w:rsidR="004353DF" w:rsidRPr="00DB5FE6" w:rsidRDefault="004353DF" w:rsidP="004353DF">
      <w:pPr>
        <w:pStyle w:val="FootnoteText"/>
        <w:spacing w:after="0"/>
        <w:rPr>
          <w:lang w:val="sr-Cyrl-BA"/>
        </w:rPr>
      </w:pPr>
      <w:r>
        <w:rPr>
          <w:rStyle w:val="FootnoteReference"/>
        </w:rPr>
        <w:footnoteRef/>
      </w:r>
      <w:r>
        <w:t xml:space="preserve"> </w:t>
      </w:r>
      <w:r>
        <w:rPr>
          <w:lang w:val="sr-Cyrl-BA"/>
        </w:rPr>
        <w:t>Уз</w:t>
      </w:r>
      <w:r w:rsidRPr="009B3049">
        <w:rPr>
          <w:color w:val="000000" w:themeColor="text1"/>
        </w:rPr>
        <w:t xml:space="preserve"> </w:t>
      </w:r>
      <w:r w:rsidRPr="009B3049">
        <w:rPr>
          <w:color w:val="000000" w:themeColor="text1"/>
          <w:lang w:val="sr-Cyrl-BA"/>
        </w:rPr>
        <w:t>два</w:t>
      </w:r>
      <w:r w:rsidRPr="009B3049">
        <w:rPr>
          <w:color w:val="000000" w:themeColor="text1"/>
        </w:rPr>
        <w:t xml:space="preserve"> </w:t>
      </w:r>
      <w:r w:rsidRPr="004353DF">
        <w:rPr>
          <w:lang w:val="sr-Cyrl-BA"/>
        </w:rPr>
        <w:t>изузетка</w:t>
      </w:r>
      <w:r>
        <w:rPr>
          <w:color w:val="000000" w:themeColor="text1"/>
          <w:lang w:val="sr-Cyrl-BA"/>
        </w:rPr>
        <w:t>, од којих је једно друштво</w:t>
      </w:r>
      <w:r>
        <w:rPr>
          <w:color w:val="000000" w:themeColor="text1"/>
          <w:lang w:val="sr-Latn-BA"/>
        </w:rPr>
        <w:t xml:space="preserve"> </w:t>
      </w:r>
      <w:r>
        <w:rPr>
          <w:color w:val="000000" w:themeColor="text1"/>
          <w:lang w:val="sr-Cyrl-BA"/>
        </w:rPr>
        <w:t>и даље са једним власником.</w:t>
      </w:r>
    </w:p>
  </w:footnote>
  <w:footnote w:id="9">
    <w:p w14:paraId="208F4B7A" w14:textId="0381730B" w:rsidR="00FC63D2" w:rsidRPr="005E4D28" w:rsidRDefault="00FC63D2" w:rsidP="000A10DE">
      <w:pPr>
        <w:pStyle w:val="FootnoteText"/>
        <w:spacing w:after="0"/>
        <w:rPr>
          <w:lang w:val="sr-Latn-BA"/>
        </w:rPr>
      </w:pPr>
      <w:r w:rsidRPr="005E4D28">
        <w:rPr>
          <w:rStyle w:val="FootnoteReference"/>
        </w:rPr>
        <w:footnoteRef/>
      </w:r>
      <w:r w:rsidRPr="005E4D28">
        <w:t xml:space="preserve"> </w:t>
      </w:r>
      <w:r w:rsidRPr="005E4D28">
        <w:rPr>
          <w:lang w:val="sr-Cyrl-BA"/>
        </w:rPr>
        <w:t xml:space="preserve">„Службени гласник Републике Српске“, бр. </w:t>
      </w:r>
      <w:r w:rsidR="00BF6D48" w:rsidRPr="00192C67">
        <w:rPr>
          <w:lang w:val="sr-Cyrl-BA"/>
        </w:rPr>
        <w:t>127/08, 58/09, 100/11, 67/13, 100/17, 82/19</w:t>
      </w:r>
      <w:r w:rsidR="00BF6D48" w:rsidRPr="00192C67">
        <w:t xml:space="preserve"> </w:t>
      </w:r>
      <w:r w:rsidR="00BF6D48" w:rsidRPr="00192C67">
        <w:rPr>
          <w:lang w:val="sr-Cyrl-BA"/>
        </w:rPr>
        <w:t>и</w:t>
      </w:r>
      <w:r w:rsidR="00BF6D48" w:rsidRPr="00192C67">
        <w:t xml:space="preserve"> </w:t>
      </w:r>
      <w:r w:rsidR="00BF6D48" w:rsidRPr="00192C67">
        <w:t>17/23</w:t>
      </w:r>
      <w:r w:rsidRPr="005E4D28">
        <w:rPr>
          <w:lang w:val="sr-Latn-BA"/>
        </w:rPr>
        <w:t>.</w:t>
      </w:r>
    </w:p>
  </w:footnote>
  <w:footnote w:id="10">
    <w:p w14:paraId="344F5805" w14:textId="6A7EF108" w:rsidR="00FC63D2" w:rsidRPr="005E4D28" w:rsidRDefault="00FC63D2" w:rsidP="000A10DE">
      <w:pPr>
        <w:pStyle w:val="FootnoteText"/>
        <w:spacing w:after="0"/>
        <w:rPr>
          <w:lang w:val="sr-Cyrl-BA"/>
        </w:rPr>
      </w:pPr>
      <w:r w:rsidRPr="005E4D28">
        <w:rPr>
          <w:rStyle w:val="FootnoteReference"/>
        </w:rPr>
        <w:footnoteRef/>
      </w:r>
      <w:r w:rsidRPr="005E4D28">
        <w:t xml:space="preserve"> </w:t>
      </w:r>
      <w:r w:rsidRPr="005E4D28">
        <w:rPr>
          <w:lang w:val="sr-Cyrl-BA"/>
        </w:rPr>
        <w:t>„Службени гласник Републике Српске“, бр</w:t>
      </w:r>
      <w:r w:rsidR="009C0BB3">
        <w:rPr>
          <w:lang w:val="sr-Cyrl-BA"/>
        </w:rPr>
        <w:t>ој</w:t>
      </w:r>
      <w:r w:rsidR="009C0BB3">
        <w:rPr>
          <w:lang w:val="en-US"/>
        </w:rPr>
        <w:t xml:space="preserve"> 29/23.</w:t>
      </w:r>
    </w:p>
  </w:footnote>
  <w:footnote w:id="11">
    <w:p w14:paraId="4CC07DC0" w14:textId="720FF203" w:rsidR="00FC63D2" w:rsidRPr="005E4D28" w:rsidRDefault="00FC63D2"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 67/12</w:t>
      </w:r>
      <w:r w:rsidRPr="005E4D28">
        <w:rPr>
          <w:lang w:val="sr-Latn-BA"/>
        </w:rPr>
        <w:t>,</w:t>
      </w:r>
      <w:r w:rsidRPr="005E4D28">
        <w:rPr>
          <w:lang w:val="sr-Cyrl-BA"/>
        </w:rPr>
        <w:t xml:space="preserve"> 5/13</w:t>
      </w:r>
      <w:r>
        <w:rPr>
          <w:lang w:val="sr-Cyrl-BA"/>
        </w:rPr>
        <w:t>,</w:t>
      </w:r>
      <w:r w:rsidRPr="005E4D28">
        <w:rPr>
          <w:lang w:val="sr-Latn-BA"/>
        </w:rPr>
        <w:t xml:space="preserve"> 32/16</w:t>
      </w:r>
      <w:r>
        <w:rPr>
          <w:lang w:val="sr-Cyrl-BA"/>
        </w:rPr>
        <w:t xml:space="preserve"> и 99/21</w:t>
      </w:r>
      <w:r w:rsidRPr="005E4D28">
        <w:rPr>
          <w:lang w:val="sr-Latn-BA"/>
        </w:rPr>
        <w:t>.</w:t>
      </w:r>
    </w:p>
  </w:footnote>
  <w:footnote w:id="12">
    <w:p w14:paraId="0FA51DA6" w14:textId="6BDA8159" w:rsidR="00FC63D2" w:rsidRPr="005E4D28" w:rsidRDefault="00FC63D2"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 119/06</w:t>
      </w:r>
      <w:r w:rsidRPr="005E4D28">
        <w:rPr>
          <w:lang w:val="sr-Latn-BA"/>
        </w:rPr>
        <w:t xml:space="preserve">, </w:t>
      </w:r>
      <w:r w:rsidRPr="005E4D28">
        <w:rPr>
          <w:lang w:val="sr-Cyrl-BA"/>
        </w:rPr>
        <w:t xml:space="preserve"> 26/07</w:t>
      </w:r>
      <w:r>
        <w:rPr>
          <w:lang w:val="sr-Cyrl-BA"/>
        </w:rPr>
        <w:t>,</w:t>
      </w:r>
      <w:r w:rsidRPr="005E4D28">
        <w:rPr>
          <w:lang w:val="sr-Latn-BA"/>
        </w:rPr>
        <w:t xml:space="preserve"> 15/18</w:t>
      </w:r>
      <w:r>
        <w:rPr>
          <w:lang w:val="sr-Cyrl-BA"/>
        </w:rPr>
        <w:t xml:space="preserve"> и 03/22</w:t>
      </w:r>
      <w:r w:rsidRPr="005E4D28">
        <w:rPr>
          <w:lang w:val="sr-Latn-BA"/>
        </w:rPr>
        <w:t>.</w:t>
      </w:r>
    </w:p>
  </w:footnote>
  <w:footnote w:id="13">
    <w:p w14:paraId="4C6F1630" w14:textId="77777777" w:rsidR="00FC63D2" w:rsidRPr="005E4D28" w:rsidRDefault="00FC63D2"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 119/06</w:t>
      </w:r>
      <w:r w:rsidRPr="005E4D28">
        <w:rPr>
          <w:lang w:val="sr-Latn-BA"/>
        </w:rPr>
        <w:t>,</w:t>
      </w:r>
      <w:r w:rsidRPr="005E4D28">
        <w:rPr>
          <w:lang w:val="sr-Cyrl-BA"/>
        </w:rPr>
        <w:t xml:space="preserve"> 17/08</w:t>
      </w:r>
      <w:r w:rsidRPr="005E4D28">
        <w:rPr>
          <w:lang w:val="sr-Latn-BA"/>
        </w:rPr>
        <w:t xml:space="preserve"> </w:t>
      </w:r>
      <w:r w:rsidRPr="005E4D28">
        <w:rPr>
          <w:lang w:val="sr-Cyrl-BA"/>
        </w:rPr>
        <w:t>и</w:t>
      </w:r>
      <w:r w:rsidRPr="005E4D28">
        <w:rPr>
          <w:lang w:val="sr-Latn-BA"/>
        </w:rPr>
        <w:t xml:space="preserve"> 15/18.</w:t>
      </w:r>
    </w:p>
  </w:footnote>
  <w:footnote w:id="14">
    <w:p w14:paraId="519D8C75" w14:textId="77777777" w:rsidR="001B7591" w:rsidRPr="00BF0AF1" w:rsidRDefault="001B7591" w:rsidP="001B7591">
      <w:pPr>
        <w:pStyle w:val="FootnoteText"/>
        <w:jc w:val="both"/>
        <w:rPr>
          <w:lang w:val="sr-Cyrl-BA"/>
        </w:rPr>
      </w:pPr>
      <w:r w:rsidRPr="00BF0AF1">
        <w:rPr>
          <w:rStyle w:val="FootnoteReference"/>
        </w:rPr>
        <w:footnoteRef/>
      </w:r>
      <w:r w:rsidRPr="00BF0AF1">
        <w:t xml:space="preserve"> </w:t>
      </w:r>
      <w:r w:rsidRPr="00BF0AF1">
        <w:rPr>
          <w:lang w:val="sr-Cyrl-BA"/>
        </w:rPr>
        <w:t>Ознака ПИФ је скраћеница за приватизациони инвестициони фонд, ознака ЗИФ је скраћеница за затворени инвестициони фонд, ознака ОАИФ је скраћеница за отворени акцијски инвестициони фонд, ознака ОМИФ је скраћеница за отворени мјешовити инвестициони фонд.</w:t>
      </w:r>
    </w:p>
  </w:footnote>
  <w:footnote w:id="15">
    <w:p w14:paraId="5498FD3F" w14:textId="199D9370" w:rsidR="00FC63D2" w:rsidRPr="005E4D28" w:rsidRDefault="00FC63D2" w:rsidP="000A10DE">
      <w:pPr>
        <w:pStyle w:val="FootnoteText"/>
        <w:spacing w:after="0"/>
        <w:rPr>
          <w:lang w:val="sr-Latn-BA"/>
        </w:rPr>
      </w:pPr>
      <w:r w:rsidRPr="005E4D28">
        <w:rPr>
          <w:rStyle w:val="FootnoteReference"/>
        </w:rPr>
        <w:footnoteRef/>
      </w:r>
      <w:r w:rsidRPr="005E4D28">
        <w:t xml:space="preserve"> </w:t>
      </w:r>
      <w:r w:rsidRPr="005E4D28">
        <w:rPr>
          <w:lang w:val="sr-Cyrl-BA"/>
        </w:rPr>
        <w:t>„Службени гласник Републике Српске“, бр</w:t>
      </w:r>
      <w:r w:rsidR="00DC4371">
        <w:rPr>
          <w:lang w:val="sr-Cyrl-BA"/>
        </w:rPr>
        <w:t>.</w:t>
      </w:r>
      <w:r w:rsidRPr="005E4D28">
        <w:rPr>
          <w:lang w:val="sr-Cyrl-BA"/>
        </w:rPr>
        <w:t xml:space="preserve"> </w:t>
      </w:r>
      <w:r w:rsidR="00DC4371">
        <w:rPr>
          <w:lang w:val="sr-Cyrl-BA"/>
        </w:rPr>
        <w:t>123/20 и 26/21</w:t>
      </w:r>
      <w:r w:rsidRPr="005E4D28">
        <w:rPr>
          <w:lang w:val="sr-Latn-BA"/>
        </w:rPr>
        <w:t>.</w:t>
      </w:r>
    </w:p>
  </w:footnote>
  <w:footnote w:id="16">
    <w:p w14:paraId="7AB0CD0B" w14:textId="1C6A6527" w:rsidR="00FC63D2" w:rsidRPr="005E4D28" w:rsidRDefault="00FC63D2"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w:t>
      </w:r>
      <w:r w:rsidR="00DC4371">
        <w:rPr>
          <w:lang w:val="sr-Cyrl-BA"/>
        </w:rPr>
        <w:t>ој</w:t>
      </w:r>
      <w:r w:rsidR="00877217">
        <w:rPr>
          <w:lang w:val="sr-Cyrl-BA"/>
        </w:rPr>
        <w:t>:</w:t>
      </w:r>
      <w:r w:rsidR="00DC4371">
        <w:rPr>
          <w:lang w:val="sr-Cyrl-BA"/>
        </w:rPr>
        <w:t xml:space="preserve"> 105/23</w:t>
      </w:r>
      <w:r w:rsidRPr="005E4D28">
        <w:rPr>
          <w:lang w:val="sr-Cyrl-BA"/>
        </w:rPr>
        <w:t>.</w:t>
      </w:r>
    </w:p>
  </w:footnote>
  <w:footnote w:id="17">
    <w:p w14:paraId="74F95879" w14:textId="5DAAD065" w:rsidR="009813BA" w:rsidRPr="009813BA" w:rsidRDefault="009813BA">
      <w:pPr>
        <w:pStyle w:val="FootnoteText"/>
        <w:rPr>
          <w:lang w:val="sr-Cyrl-BA"/>
        </w:rPr>
      </w:pPr>
      <w:r>
        <w:rPr>
          <w:rStyle w:val="FootnoteReference"/>
        </w:rPr>
        <w:footnoteRef/>
      </w:r>
      <w:r>
        <w:t xml:space="preserve"> </w:t>
      </w:r>
      <w:r w:rsidRPr="005E4D28">
        <w:rPr>
          <w:lang w:val="sr-Cyrl-BA"/>
        </w:rPr>
        <w:t xml:space="preserve">''Службени гласник Републике Српске'', </w:t>
      </w:r>
      <w:r w:rsidRPr="009813BA">
        <w:rPr>
          <w:lang w:val="sr-Cyrl-BA"/>
        </w:rPr>
        <w:t>број: 63/22</w:t>
      </w:r>
      <w:r>
        <w:rPr>
          <w:lang w:val="sr-Cyrl-BA"/>
        </w:rPr>
        <w:t>.</w:t>
      </w:r>
    </w:p>
  </w:footnote>
  <w:footnote w:id="18">
    <w:p w14:paraId="1A137AEA" w14:textId="295E4E2F" w:rsidR="00FC63D2" w:rsidRPr="005E4D28" w:rsidRDefault="00FC63D2" w:rsidP="000A10DE">
      <w:pPr>
        <w:pStyle w:val="FootnoteText"/>
        <w:spacing w:after="0"/>
        <w:jc w:val="both"/>
        <w:rPr>
          <w:lang w:val="sr-Cyrl-BA"/>
        </w:rPr>
      </w:pPr>
      <w:r w:rsidRPr="005E4D28">
        <w:rPr>
          <w:rStyle w:val="FootnoteReference"/>
        </w:rPr>
        <w:footnoteRef/>
      </w:r>
      <w:r w:rsidRPr="005E4D28">
        <w:t xml:space="preserve"> </w:t>
      </w:r>
      <w:r w:rsidRPr="005E4D28">
        <w:rPr>
          <w:lang w:val="en-US"/>
        </w:rPr>
        <w:t>Administrative arrangement for the transfer of personal data between Each of the European Economic Area (“EEA”) Authorities set out in Appendix A and Each of the non-EEA Authorities set out in Appendix B</w:t>
      </w:r>
      <w:r w:rsidRPr="005E4D28">
        <w:rPr>
          <w:lang w:val="sr-Cyrl-BA"/>
        </w:rPr>
        <w:t>.</w:t>
      </w:r>
    </w:p>
  </w:footnote>
  <w:footnote w:id="19">
    <w:p w14:paraId="667517D5" w14:textId="6F6EB032" w:rsidR="00FC63D2" w:rsidRPr="005E4D28" w:rsidRDefault="00FC63D2" w:rsidP="000A10DE">
      <w:pPr>
        <w:pStyle w:val="FootnoteText"/>
        <w:spacing w:after="0"/>
        <w:jc w:val="both"/>
      </w:pPr>
      <w:r w:rsidRPr="005E4D28">
        <w:rPr>
          <w:rStyle w:val="FootnoteReference"/>
        </w:rPr>
        <w:footnoteRef/>
      </w:r>
      <w:r w:rsidRPr="005E4D28">
        <w:rPr>
          <w:lang w:val="sr-Cyrl-BA"/>
        </w:rPr>
        <w:t xml:space="preserve"> </w:t>
      </w:r>
      <w:r w:rsidRPr="005E4D28">
        <w:rPr>
          <w:lang w:val="sr-Cyrl-BA"/>
        </w:rPr>
        <w:t xml:space="preserve">IOSCO </w:t>
      </w:r>
      <w:r w:rsidRPr="005E4D28">
        <w:rPr>
          <w:lang w:val="en-US"/>
        </w:rPr>
        <w:t>Multilateral</w:t>
      </w:r>
      <w:r w:rsidRPr="005E4D28">
        <w:rPr>
          <w:lang w:val="sr-Cyrl-BA"/>
        </w:rPr>
        <w:t xml:space="preserve"> </w:t>
      </w:r>
      <w:r w:rsidRPr="005E4D28">
        <w:rPr>
          <w:lang w:val="en-US"/>
        </w:rPr>
        <w:t>Memorandum</w:t>
      </w:r>
      <w:r w:rsidRPr="005E4D28">
        <w:rPr>
          <w:lang w:val="sr-Cyrl-BA"/>
        </w:rPr>
        <w:t xml:space="preserve"> </w:t>
      </w:r>
      <w:r w:rsidRPr="005E4D28">
        <w:rPr>
          <w:lang w:val="en-US"/>
        </w:rPr>
        <w:t>of</w:t>
      </w:r>
      <w:r w:rsidRPr="005E4D28">
        <w:rPr>
          <w:lang w:val="sr-Cyrl-BA"/>
        </w:rPr>
        <w:t xml:space="preserve"> </w:t>
      </w:r>
      <w:r w:rsidRPr="005E4D28">
        <w:rPr>
          <w:lang w:val="en-US"/>
        </w:rPr>
        <w:t>Understanding</w:t>
      </w:r>
      <w:r w:rsidRPr="005E4D28">
        <w:rPr>
          <w:lang w:val="sr-Cyrl-BA"/>
        </w:rPr>
        <w:t xml:space="preserve"> </w:t>
      </w:r>
      <w:r w:rsidRPr="005E4D28">
        <w:rPr>
          <w:lang w:val="en-US"/>
        </w:rPr>
        <w:t>Concerning</w:t>
      </w:r>
      <w:r w:rsidRPr="005E4D28">
        <w:rPr>
          <w:lang w:val="sr-Cyrl-BA"/>
        </w:rPr>
        <w:t xml:space="preserve"> </w:t>
      </w:r>
      <w:r w:rsidRPr="005E4D28">
        <w:rPr>
          <w:lang w:val="en-US"/>
        </w:rPr>
        <w:t>Consultation</w:t>
      </w:r>
      <w:r w:rsidRPr="005E4D28">
        <w:rPr>
          <w:lang w:val="sr-Cyrl-BA"/>
        </w:rPr>
        <w:t xml:space="preserve"> </w:t>
      </w:r>
      <w:r w:rsidRPr="005E4D28">
        <w:rPr>
          <w:lang w:val="en-US"/>
        </w:rPr>
        <w:t>and</w:t>
      </w:r>
      <w:r w:rsidRPr="005E4D28">
        <w:rPr>
          <w:lang w:val="sr-Cyrl-BA"/>
        </w:rPr>
        <w:t xml:space="preserve"> </w:t>
      </w:r>
      <w:r w:rsidRPr="005E4D28">
        <w:rPr>
          <w:lang w:val="en-US"/>
        </w:rPr>
        <w:t>Cooperation</w:t>
      </w:r>
      <w:r w:rsidRPr="005E4D28">
        <w:rPr>
          <w:lang w:val="sr-Cyrl-BA"/>
        </w:rPr>
        <w:t xml:space="preserve"> </w:t>
      </w:r>
      <w:r w:rsidRPr="005E4D28">
        <w:rPr>
          <w:lang w:val="en-US"/>
        </w:rPr>
        <w:t>and</w:t>
      </w:r>
      <w:r w:rsidRPr="005E4D28">
        <w:rPr>
          <w:lang w:val="sr-Cyrl-BA"/>
        </w:rPr>
        <w:t xml:space="preserve"> </w:t>
      </w:r>
      <w:r w:rsidRPr="005E4D28">
        <w:rPr>
          <w:lang w:val="en-US"/>
        </w:rPr>
        <w:t>Exchange</w:t>
      </w:r>
      <w:r w:rsidRPr="005E4D28">
        <w:rPr>
          <w:lang w:val="sr-Cyrl-BA"/>
        </w:rPr>
        <w:t xml:space="preserve"> </w:t>
      </w:r>
      <w:r w:rsidRPr="005E4D28">
        <w:rPr>
          <w:lang w:val="en-US"/>
        </w:rPr>
        <w:t>of</w:t>
      </w:r>
      <w:r w:rsidRPr="005E4D28">
        <w:rPr>
          <w:lang w:val="sr-Cyrl-BA"/>
        </w:rPr>
        <w:t xml:space="preserve"> </w:t>
      </w:r>
      <w:r w:rsidRPr="005E4D28">
        <w:rPr>
          <w:lang w:val="en-US"/>
        </w:rPr>
        <w:t>Information</w:t>
      </w:r>
      <w:r w:rsidRPr="005E4D28">
        <w:rPr>
          <w:lang w:val="sr-Cyrl-BA"/>
        </w:rPr>
        <w:t xml:space="preserve"> (IOSCO </w:t>
      </w:r>
      <w:proofErr w:type="spellStart"/>
      <w:r w:rsidRPr="005E4D28">
        <w:rPr>
          <w:lang w:val="sr-Cyrl-BA"/>
        </w:rPr>
        <w:t>MMoU</w:t>
      </w:r>
      <w:proofErr w:type="spellEnd"/>
      <w:r w:rsidRPr="005E4D28">
        <w:rPr>
          <w:lang w:val="sr-Cyrl-BA"/>
        </w:rPr>
        <w:t>).</w:t>
      </w:r>
    </w:p>
  </w:footnote>
  <w:footnote w:id="20">
    <w:p w14:paraId="5CE8EEDC" w14:textId="357D413B" w:rsidR="00FC63D2" w:rsidRPr="005E4D28" w:rsidRDefault="00FC63D2" w:rsidP="000A10DE">
      <w:pPr>
        <w:pStyle w:val="FootnoteText"/>
        <w:spacing w:after="0"/>
        <w:jc w:val="both"/>
      </w:pPr>
      <w:r w:rsidRPr="005E4D28">
        <w:rPr>
          <w:rStyle w:val="FootnoteReference"/>
        </w:rPr>
        <w:footnoteRef/>
      </w:r>
      <w:r w:rsidRPr="005E4D28">
        <w:t xml:space="preserve"> </w:t>
      </w:r>
      <w:r w:rsidRPr="005E4D28">
        <w:rPr>
          <w:lang w:val="sr-Cyrl-BA"/>
        </w:rPr>
        <w:t xml:space="preserve">IOSCO </w:t>
      </w:r>
      <w:r w:rsidRPr="005E4D28">
        <w:rPr>
          <w:lang w:val="en-US"/>
        </w:rPr>
        <w:t xml:space="preserve">Enhanced Multilateral Memorandum of Understanding Concerning Consultation and Cooperation and Exchange of Information </w:t>
      </w:r>
      <w:r w:rsidRPr="005E4D28">
        <w:rPr>
          <w:lang w:val="sr-Cyrl-BA"/>
        </w:rPr>
        <w:t>(</w:t>
      </w:r>
      <w:r w:rsidRPr="005E4D28">
        <w:rPr>
          <w:lang w:val="en-US"/>
        </w:rPr>
        <w:t xml:space="preserve">IOSCO </w:t>
      </w:r>
      <w:proofErr w:type="spellStart"/>
      <w:r w:rsidRPr="005E4D28">
        <w:rPr>
          <w:lang w:val="en-US"/>
        </w:rPr>
        <w:t>EMMoU</w:t>
      </w:r>
      <w:proofErr w:type="spellEnd"/>
      <w:r w:rsidRPr="005E4D28">
        <w:rPr>
          <w:lang w:val="sr-Cyrl-BA"/>
        </w:rPr>
        <w:t>).</w:t>
      </w:r>
    </w:p>
  </w:footnote>
  <w:footnote w:id="21">
    <w:p w14:paraId="133C39A6" w14:textId="1D8FE498" w:rsidR="00643CDC" w:rsidRPr="00643CDC" w:rsidRDefault="00643CDC" w:rsidP="00643CDC">
      <w:pPr>
        <w:pStyle w:val="FootnoteText"/>
        <w:spacing w:after="0"/>
        <w:rPr>
          <w:lang w:val="sr-Cyrl-BA"/>
        </w:rPr>
      </w:pPr>
      <w:r>
        <w:rPr>
          <w:rStyle w:val="FootnoteReference"/>
        </w:rPr>
        <w:footnoteRef/>
      </w:r>
      <w:r>
        <w:t xml:space="preserve"> </w:t>
      </w:r>
      <w:r>
        <w:rPr>
          <w:lang w:val="sr-Cyrl-BA"/>
        </w:rPr>
        <w:t>На крају 2023. године ова листа је повећана на 17 регулатора.</w:t>
      </w:r>
    </w:p>
  </w:footnote>
  <w:footnote w:id="22">
    <w:p w14:paraId="6DDFAEF9" w14:textId="718E17F3" w:rsidR="00FC63D2" w:rsidRPr="00080E2A" w:rsidRDefault="00FC63D2" w:rsidP="000A10DE">
      <w:pPr>
        <w:pStyle w:val="FootnoteText"/>
        <w:spacing w:after="0"/>
        <w:rPr>
          <w:lang w:val="sr-Latn-BA"/>
        </w:rPr>
      </w:pPr>
      <w:r w:rsidRPr="006C1275">
        <w:rPr>
          <w:rStyle w:val="FootnoteReference"/>
          <w:rFonts w:eastAsiaTheme="majorEastAsia"/>
        </w:rPr>
        <w:footnoteRef/>
      </w:r>
      <w:r w:rsidRPr="006C1275">
        <w:t xml:space="preserve"> </w:t>
      </w:r>
      <w:r w:rsidRPr="006C1275">
        <w:t xml:space="preserve">Члан 260. </w:t>
      </w:r>
      <w:r w:rsidRPr="006C1275">
        <w:rPr>
          <w:lang w:val="sr-Cyrl-BA"/>
        </w:rPr>
        <w:t>тачка</w:t>
      </w:r>
      <w:r w:rsidRPr="006C1275">
        <w:t xml:space="preserve"> д) Закона о тржишту</w:t>
      </w:r>
      <w:r>
        <w:rPr>
          <w:lang w:val="sr-Latn-BA"/>
        </w:rPr>
        <w:t>.</w:t>
      </w:r>
    </w:p>
  </w:footnote>
  <w:footnote w:id="23">
    <w:p w14:paraId="394887A2" w14:textId="0629A1BF"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t xml:space="preserve">Члан 260. тачка </w:t>
      </w:r>
      <w:r w:rsidRPr="006C1275">
        <w:rPr>
          <w:lang w:val="sr-Cyrl-BA"/>
        </w:rPr>
        <w:t>ђ</w:t>
      </w:r>
      <w:r w:rsidRPr="006C1275">
        <w:t>) Закона о тржишту</w:t>
      </w:r>
      <w:r>
        <w:rPr>
          <w:lang w:val="sr-Latn-BA"/>
        </w:rPr>
        <w:t>.</w:t>
      </w:r>
    </w:p>
  </w:footnote>
  <w:footnote w:id="24">
    <w:p w14:paraId="2E883163" w14:textId="63A9661F"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 xml:space="preserve">Члан 80. став 1. тачка х) Закона о </w:t>
      </w:r>
      <w:proofErr w:type="spellStart"/>
      <w:r w:rsidRPr="006C1275">
        <w:rPr>
          <w:lang w:val="sr-Cyrl-BA"/>
        </w:rPr>
        <w:t>спречавању</w:t>
      </w:r>
      <w:proofErr w:type="spellEnd"/>
      <w:r w:rsidRPr="006C1275">
        <w:rPr>
          <w:lang w:val="sr-Cyrl-BA"/>
        </w:rPr>
        <w:t xml:space="preserve"> прања новца и финансирања терористичких активности (</w:t>
      </w:r>
      <w:r w:rsidR="003E0284">
        <w:rPr>
          <w:lang w:val="sr-Cyrl-BA"/>
        </w:rPr>
        <w:t>„</w:t>
      </w:r>
      <w:r w:rsidRPr="006C1275">
        <w:rPr>
          <w:lang w:val="sr-Cyrl-BA"/>
        </w:rPr>
        <w:t>Службени гласник БиХ</w:t>
      </w:r>
      <w:r w:rsidR="003E0284">
        <w:rPr>
          <w:lang w:val="sr-Cyrl-BA"/>
        </w:rPr>
        <w:t>“,</w:t>
      </w:r>
      <w:r w:rsidRPr="006C1275">
        <w:rPr>
          <w:lang w:val="sr-Cyrl-BA"/>
        </w:rPr>
        <w:t xml:space="preserve"> број 47/14 и 10/16)</w:t>
      </w:r>
      <w:r>
        <w:rPr>
          <w:lang w:val="sr-Cyrl-BA"/>
        </w:rPr>
        <w:t>.</w:t>
      </w:r>
    </w:p>
  </w:footnote>
  <w:footnote w:id="25">
    <w:p w14:paraId="39DB6D25" w14:textId="6BF73202"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227. став 1. Закона о инвестиционим фондовима</w:t>
      </w:r>
      <w:r>
        <w:rPr>
          <w:lang w:val="sr-Cyrl-BA"/>
        </w:rPr>
        <w:t>.</w:t>
      </w:r>
    </w:p>
  </w:footnote>
  <w:footnote w:id="26">
    <w:p w14:paraId="31F6F78A" w14:textId="6484610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3. Правилника о надзору над учесницима на тржишту хартија од вриједности (Службени гласник Републике Српске број 98/14</w:t>
      </w:r>
      <w:r w:rsidR="00643CDC">
        <w:rPr>
          <w:lang w:val="sr-Cyrl-BA"/>
        </w:rPr>
        <w:t>,</w:t>
      </w:r>
      <w:r w:rsidRPr="006C1275">
        <w:rPr>
          <w:lang w:val="sr-Cyrl-BA"/>
        </w:rPr>
        <w:t xml:space="preserve"> 77/17</w:t>
      </w:r>
      <w:r w:rsidR="00643CDC">
        <w:rPr>
          <w:lang w:val="sr-Cyrl-BA"/>
        </w:rPr>
        <w:t xml:space="preserve"> и 25/23</w:t>
      </w:r>
      <w:r w:rsidRPr="006C1275">
        <w:rPr>
          <w:lang w:val="sr-Cyrl-BA"/>
        </w:rPr>
        <w:t>)</w:t>
      </w:r>
      <w:r>
        <w:rPr>
          <w:lang w:val="sr-Cyrl-BA"/>
        </w:rPr>
        <w:t>.</w:t>
      </w:r>
    </w:p>
  </w:footnote>
  <w:footnote w:id="27">
    <w:p w14:paraId="6A832D77"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 став 1. Правилника о надзору</w:t>
      </w:r>
      <w:r>
        <w:rPr>
          <w:lang w:val="sr-Cyrl-BA"/>
        </w:rPr>
        <w:t>.</w:t>
      </w:r>
    </w:p>
  </w:footnote>
  <w:footnote w:id="28">
    <w:p w14:paraId="4574213F"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 ст. 2. и 3. Правилника о надзору</w:t>
      </w:r>
      <w:r>
        <w:rPr>
          <w:lang w:val="sr-Cyrl-BA"/>
        </w:rPr>
        <w:t>.</w:t>
      </w:r>
    </w:p>
  </w:footnote>
  <w:footnote w:id="29">
    <w:p w14:paraId="132C40C3"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1. Правилника о надзору</w:t>
      </w:r>
      <w:r>
        <w:rPr>
          <w:lang w:val="sr-Cyrl-BA"/>
        </w:rPr>
        <w:t>.</w:t>
      </w:r>
    </w:p>
  </w:footnote>
  <w:footnote w:id="30">
    <w:p w14:paraId="23BD2846"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2. Правилника о надзору</w:t>
      </w:r>
      <w:r>
        <w:rPr>
          <w:lang w:val="sr-Cyrl-BA"/>
        </w:rPr>
        <w:t>.</w:t>
      </w:r>
    </w:p>
  </w:footnote>
  <w:footnote w:id="31">
    <w:p w14:paraId="2ABEB815"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9. став 1. Правилника о надзору</w:t>
      </w:r>
      <w:r>
        <w:rPr>
          <w:lang w:val="sr-Cyrl-BA"/>
        </w:rPr>
        <w:t>.</w:t>
      </w:r>
    </w:p>
  </w:footnote>
  <w:footnote w:id="32">
    <w:p w14:paraId="71A8CF5F"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3. Правилника о надзору</w:t>
      </w:r>
      <w:r>
        <w:rPr>
          <w:lang w:val="sr-Cyrl-BA"/>
        </w:rPr>
        <w:t>.</w:t>
      </w:r>
    </w:p>
  </w:footnote>
  <w:footnote w:id="33">
    <w:p w14:paraId="7428763B"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4. Правилника о надзору</w:t>
      </w:r>
      <w:r>
        <w:rPr>
          <w:lang w:val="sr-Cyrl-BA"/>
        </w:rPr>
        <w:t>.</w:t>
      </w:r>
    </w:p>
  </w:footnote>
  <w:footnote w:id="34">
    <w:p w14:paraId="4F4CA60D"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 xml:space="preserve">Члан </w:t>
      </w:r>
      <w:r>
        <w:rPr>
          <w:lang w:val="sr-Cyrl-BA"/>
        </w:rPr>
        <w:t>4. став 1. Правилника о надзору.</w:t>
      </w:r>
    </w:p>
  </w:footnote>
  <w:footnote w:id="35">
    <w:p w14:paraId="4A8B1ADC" w14:textId="77777777" w:rsidR="00FC63D2" w:rsidRPr="006C1275" w:rsidRDefault="00FC63D2"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 5. до 7. Правилника о надзору</w:t>
      </w:r>
      <w:r>
        <w:rPr>
          <w:lang w:val="sr-Cyrl-BA"/>
        </w:rPr>
        <w:t>.</w:t>
      </w:r>
    </w:p>
    <w:p w14:paraId="55925777" w14:textId="77777777" w:rsidR="00FC63D2" w:rsidRPr="006C1275" w:rsidRDefault="00FC63D2" w:rsidP="000A10DE">
      <w:pPr>
        <w:pStyle w:val="FootnoteText"/>
        <w:spacing w:after="0"/>
        <w:rPr>
          <w:lang w:val="sr-Cyrl-BA"/>
        </w:rPr>
      </w:pPr>
    </w:p>
  </w:footnote>
  <w:footnote w:id="36">
    <w:p w14:paraId="27858AB8" w14:textId="121D44C9" w:rsidR="00FC63D2" w:rsidRPr="00C764EC" w:rsidRDefault="00FC63D2" w:rsidP="000A10DE">
      <w:pPr>
        <w:pStyle w:val="Footnote"/>
        <w:ind w:firstLine="709"/>
        <w:rPr>
          <w:sz w:val="20"/>
          <w:szCs w:val="20"/>
          <w:lang w:val="sr-Latn-BA"/>
        </w:rPr>
      </w:pPr>
      <w:r w:rsidRPr="0088269B">
        <w:rPr>
          <w:rStyle w:val="FootnoteReference"/>
        </w:rPr>
        <w:footnoteRef/>
      </w:r>
      <w:r w:rsidRPr="0088269B">
        <w:rPr>
          <w:sz w:val="20"/>
          <w:szCs w:val="20"/>
        </w:rPr>
        <w:t xml:space="preserve"> </w:t>
      </w:r>
      <w:r w:rsidRPr="0088269B">
        <w:rPr>
          <w:sz w:val="20"/>
          <w:szCs w:val="20"/>
        </w:rPr>
        <w:t>Члан 266. Закона о тржишту</w:t>
      </w:r>
      <w:r>
        <w:rPr>
          <w:sz w:val="20"/>
          <w:szCs w:val="20"/>
          <w:lang w:val="sr-Latn-BA"/>
        </w:rPr>
        <w:t>.</w:t>
      </w:r>
    </w:p>
  </w:footnote>
  <w:footnote w:id="37">
    <w:p w14:paraId="49276E17" w14:textId="2D3F6C67" w:rsidR="00FC63D2" w:rsidRPr="00C764EC" w:rsidRDefault="00FC63D2" w:rsidP="000A10DE">
      <w:pPr>
        <w:pStyle w:val="Footnote"/>
        <w:ind w:firstLine="709"/>
        <w:rPr>
          <w:sz w:val="20"/>
          <w:szCs w:val="20"/>
          <w:lang w:val="sr-Latn-BA"/>
        </w:rPr>
      </w:pPr>
      <w:r w:rsidRPr="0088269B">
        <w:rPr>
          <w:rStyle w:val="FootnoteReference"/>
        </w:rPr>
        <w:footnoteRef/>
      </w:r>
      <w:r w:rsidRPr="0088269B">
        <w:rPr>
          <w:sz w:val="20"/>
          <w:szCs w:val="20"/>
        </w:rPr>
        <w:t xml:space="preserve"> </w:t>
      </w:r>
      <w:r w:rsidRPr="0088269B">
        <w:rPr>
          <w:sz w:val="20"/>
          <w:szCs w:val="20"/>
        </w:rPr>
        <w:t>Члан 265. став 2. Закона о тржишту</w:t>
      </w:r>
      <w:r>
        <w:rPr>
          <w:sz w:val="20"/>
          <w:szCs w:val="20"/>
          <w:lang w:val="sr-Latn-BA"/>
        </w:rPr>
        <w:t>.</w:t>
      </w:r>
    </w:p>
  </w:footnote>
  <w:footnote w:id="38">
    <w:p w14:paraId="08B73982" w14:textId="65254683" w:rsidR="00FC63D2" w:rsidRPr="00C764EC" w:rsidRDefault="00FC63D2" w:rsidP="000A10DE">
      <w:pPr>
        <w:pStyle w:val="Footnote"/>
        <w:ind w:firstLine="709"/>
        <w:rPr>
          <w:sz w:val="20"/>
          <w:szCs w:val="20"/>
          <w:lang w:val="sr-Latn-BA"/>
        </w:rPr>
      </w:pPr>
      <w:r w:rsidRPr="0088269B">
        <w:rPr>
          <w:rStyle w:val="FootnoteReference"/>
        </w:rPr>
        <w:footnoteRef/>
      </w:r>
      <w:r w:rsidRPr="0088269B">
        <w:rPr>
          <w:sz w:val="20"/>
          <w:szCs w:val="20"/>
        </w:rPr>
        <w:t xml:space="preserve"> </w:t>
      </w:r>
      <w:r w:rsidRPr="0088269B">
        <w:rPr>
          <w:sz w:val="20"/>
          <w:szCs w:val="20"/>
        </w:rPr>
        <w:t>Члан 267. став 1. Закона о тржишту</w:t>
      </w:r>
      <w:r>
        <w:rPr>
          <w:sz w:val="20"/>
          <w:szCs w:val="20"/>
          <w:lang w:val="sr-Latn-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6F10F0F"/>
    <w:multiLevelType w:val="hybridMultilevel"/>
    <w:tmpl w:val="25BF88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910BE"/>
    <w:multiLevelType w:val="hybridMultilevel"/>
    <w:tmpl w:val="EE780088"/>
    <w:lvl w:ilvl="0" w:tplc="550E4F1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8FAF34"/>
    <w:multiLevelType w:val="hybridMultilevel"/>
    <w:tmpl w:val="FEF858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3357A7"/>
    <w:multiLevelType w:val="hybridMultilevel"/>
    <w:tmpl w:val="C9D0CEDC"/>
    <w:lvl w:ilvl="0" w:tplc="081A000F">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4" w15:restartNumberingAfterBreak="0">
    <w:nsid w:val="10792259"/>
    <w:multiLevelType w:val="hybridMultilevel"/>
    <w:tmpl w:val="CD76B5CE"/>
    <w:lvl w:ilvl="0" w:tplc="B55031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205E5"/>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16D6328E"/>
    <w:multiLevelType w:val="hybridMultilevel"/>
    <w:tmpl w:val="4644FF10"/>
    <w:lvl w:ilvl="0" w:tplc="2AEAD762">
      <w:start w:val="1"/>
      <w:numFmt w:val="bullet"/>
      <w:lvlText w:val="-"/>
      <w:lvlJc w:val="left"/>
      <w:pPr>
        <w:ind w:left="720" w:hanging="360"/>
      </w:pPr>
      <w:rPr>
        <w:rFonts w:ascii="Times New Roman" w:eastAsia="Times New Roman" w:hAnsi="Times New Roman"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7" w15:restartNumberingAfterBreak="0">
    <w:nsid w:val="1DBB3A6D"/>
    <w:multiLevelType w:val="hybridMultilevel"/>
    <w:tmpl w:val="350EB2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80EF3"/>
    <w:multiLevelType w:val="hybridMultilevel"/>
    <w:tmpl w:val="C55E1A64"/>
    <w:lvl w:ilvl="0" w:tplc="550E4F1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115B50"/>
    <w:multiLevelType w:val="hybridMultilevel"/>
    <w:tmpl w:val="0D9EA2F4"/>
    <w:lvl w:ilvl="0" w:tplc="04090011">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10" w15:restartNumberingAfterBreak="0">
    <w:nsid w:val="23047BF5"/>
    <w:multiLevelType w:val="hybridMultilevel"/>
    <w:tmpl w:val="8534B3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5C946DF"/>
    <w:multiLevelType w:val="hybridMultilevel"/>
    <w:tmpl w:val="24F42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232DFD"/>
    <w:multiLevelType w:val="hybridMultilevel"/>
    <w:tmpl w:val="821830E8"/>
    <w:lvl w:ilvl="0" w:tplc="7E5888A6">
      <w:start w:val="1"/>
      <w:numFmt w:val="decimal"/>
      <w:lvlText w:val="%1)"/>
      <w:lvlJc w:val="left"/>
      <w:pPr>
        <w:ind w:left="720" w:hanging="360"/>
      </w:pPr>
      <w:rPr>
        <w:rFonts w:ascii="Times New Roman" w:hAnsi="Times New Roman" w:cs="Times New Roman"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71544E"/>
    <w:multiLevelType w:val="hybridMultilevel"/>
    <w:tmpl w:val="6C78CEF4"/>
    <w:lvl w:ilvl="0" w:tplc="EA9052B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D345E"/>
    <w:multiLevelType w:val="hybridMultilevel"/>
    <w:tmpl w:val="15E2C324"/>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325C39CC"/>
    <w:multiLevelType w:val="hybridMultilevel"/>
    <w:tmpl w:val="EFE81994"/>
    <w:lvl w:ilvl="0" w:tplc="181A000F">
      <w:start w:val="1"/>
      <w:numFmt w:val="decimal"/>
      <w:lvlText w:val="%1."/>
      <w:lvlJc w:val="left"/>
      <w:pPr>
        <w:ind w:left="644" w:hanging="360"/>
      </w:pPr>
    </w:lvl>
    <w:lvl w:ilvl="1" w:tplc="181A0019">
      <w:start w:val="1"/>
      <w:numFmt w:val="decimal"/>
      <w:lvlText w:val="%2."/>
      <w:lvlJc w:val="left"/>
      <w:pPr>
        <w:tabs>
          <w:tab w:val="num" w:pos="1364"/>
        </w:tabs>
        <w:ind w:left="1364" w:hanging="360"/>
      </w:pPr>
    </w:lvl>
    <w:lvl w:ilvl="2" w:tplc="181A001B">
      <w:start w:val="1"/>
      <w:numFmt w:val="decimal"/>
      <w:lvlText w:val="%3."/>
      <w:lvlJc w:val="left"/>
      <w:pPr>
        <w:tabs>
          <w:tab w:val="num" w:pos="2084"/>
        </w:tabs>
        <w:ind w:left="2084" w:hanging="360"/>
      </w:pPr>
    </w:lvl>
    <w:lvl w:ilvl="3" w:tplc="181A000F">
      <w:start w:val="1"/>
      <w:numFmt w:val="decimal"/>
      <w:lvlText w:val="%4."/>
      <w:lvlJc w:val="left"/>
      <w:pPr>
        <w:tabs>
          <w:tab w:val="num" w:pos="2804"/>
        </w:tabs>
        <w:ind w:left="2804" w:hanging="360"/>
      </w:pPr>
    </w:lvl>
    <w:lvl w:ilvl="4" w:tplc="181A0019">
      <w:start w:val="1"/>
      <w:numFmt w:val="decimal"/>
      <w:lvlText w:val="%5."/>
      <w:lvlJc w:val="left"/>
      <w:pPr>
        <w:tabs>
          <w:tab w:val="num" w:pos="3524"/>
        </w:tabs>
        <w:ind w:left="3524" w:hanging="360"/>
      </w:pPr>
    </w:lvl>
    <w:lvl w:ilvl="5" w:tplc="181A001B">
      <w:start w:val="1"/>
      <w:numFmt w:val="decimal"/>
      <w:lvlText w:val="%6."/>
      <w:lvlJc w:val="left"/>
      <w:pPr>
        <w:tabs>
          <w:tab w:val="num" w:pos="4244"/>
        </w:tabs>
        <w:ind w:left="4244" w:hanging="360"/>
      </w:pPr>
    </w:lvl>
    <w:lvl w:ilvl="6" w:tplc="181A000F">
      <w:start w:val="1"/>
      <w:numFmt w:val="decimal"/>
      <w:lvlText w:val="%7."/>
      <w:lvlJc w:val="left"/>
      <w:pPr>
        <w:tabs>
          <w:tab w:val="num" w:pos="4964"/>
        </w:tabs>
        <w:ind w:left="4964" w:hanging="360"/>
      </w:pPr>
    </w:lvl>
    <w:lvl w:ilvl="7" w:tplc="181A0019">
      <w:start w:val="1"/>
      <w:numFmt w:val="decimal"/>
      <w:lvlText w:val="%8."/>
      <w:lvlJc w:val="left"/>
      <w:pPr>
        <w:tabs>
          <w:tab w:val="num" w:pos="5684"/>
        </w:tabs>
        <w:ind w:left="5684" w:hanging="360"/>
      </w:pPr>
    </w:lvl>
    <w:lvl w:ilvl="8" w:tplc="181A001B">
      <w:start w:val="1"/>
      <w:numFmt w:val="decimal"/>
      <w:lvlText w:val="%9."/>
      <w:lvlJc w:val="left"/>
      <w:pPr>
        <w:tabs>
          <w:tab w:val="num" w:pos="6404"/>
        </w:tabs>
        <w:ind w:left="6404" w:hanging="360"/>
      </w:pPr>
    </w:lvl>
  </w:abstractNum>
  <w:abstractNum w:abstractNumId="16" w15:restartNumberingAfterBreak="0">
    <w:nsid w:val="32D54B86"/>
    <w:multiLevelType w:val="hybridMultilevel"/>
    <w:tmpl w:val="E2A0CF46"/>
    <w:lvl w:ilvl="0" w:tplc="5ABC51AE">
      <w:start w:val="1"/>
      <w:numFmt w:val="decimal"/>
      <w:lvlText w:val="%1."/>
      <w:lvlJc w:val="left"/>
      <w:pPr>
        <w:ind w:left="1068" w:hanging="360"/>
      </w:pPr>
      <w:rPr>
        <w:rFonts w:ascii="Times New Roman" w:eastAsia="Calibri" w:hAnsi="Times New Roman" w:cs="Times New Roman" w:hint="default"/>
        <w:i w:val="0"/>
        <w:color w:val="auto"/>
      </w:r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17" w15:restartNumberingAfterBreak="0">
    <w:nsid w:val="35CA3F0F"/>
    <w:multiLevelType w:val="hybridMultilevel"/>
    <w:tmpl w:val="BA4A3492"/>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18" w15:restartNumberingAfterBreak="0">
    <w:nsid w:val="3B4A56DE"/>
    <w:multiLevelType w:val="multilevel"/>
    <w:tmpl w:val="9E56D4DA"/>
    <w:lvl w:ilvl="0">
      <w:start w:val="1"/>
      <w:numFmt w:val="upperRoman"/>
      <w:pStyle w:val="Heading1"/>
      <w:lvlText w:val="%1"/>
      <w:lvlJc w:val="left"/>
      <w:pPr>
        <w:ind w:left="-265" w:hanging="432"/>
      </w:pPr>
      <w:rPr>
        <w:rFonts w:hint="default"/>
      </w:rPr>
    </w:lvl>
    <w:lvl w:ilvl="1">
      <w:start w:val="1"/>
      <w:numFmt w:val="decimal"/>
      <w:pStyle w:val="Heading2"/>
      <w:lvlText w:val="%2."/>
      <w:lvlJc w:val="left"/>
      <w:pPr>
        <w:ind w:left="-121" w:hanging="576"/>
      </w:pPr>
      <w:rPr>
        <w:rFonts w:hint="default"/>
      </w:rPr>
    </w:lvl>
    <w:lvl w:ilvl="2">
      <w:start w:val="1"/>
      <w:numFmt w:val="decimal"/>
      <w:pStyle w:val="Heading3"/>
      <w:lvlText w:val="%2.%3."/>
      <w:lvlJc w:val="left"/>
      <w:pPr>
        <w:ind w:left="23" w:hanging="720"/>
      </w:pPr>
      <w:rPr>
        <w:rFonts w:hint="default"/>
      </w:rPr>
    </w:lvl>
    <w:lvl w:ilvl="3">
      <w:start w:val="1"/>
      <w:numFmt w:val="decimal"/>
      <w:pStyle w:val="Heading4"/>
      <w:lvlText w:val="%2.%3.%4."/>
      <w:lvlJc w:val="left"/>
      <w:pPr>
        <w:ind w:left="167" w:hanging="864"/>
      </w:pPr>
      <w:rPr>
        <w:rFonts w:hint="default"/>
      </w:rPr>
    </w:lvl>
    <w:lvl w:ilvl="4">
      <w:start w:val="1"/>
      <w:numFmt w:val="decimal"/>
      <w:pStyle w:val="Heading5"/>
      <w:lvlText w:val="%1.%2.%3.%4.%5"/>
      <w:lvlJc w:val="left"/>
      <w:pPr>
        <w:ind w:left="311" w:hanging="1008"/>
      </w:pPr>
      <w:rPr>
        <w:rFonts w:hint="default"/>
      </w:rPr>
    </w:lvl>
    <w:lvl w:ilvl="5">
      <w:start w:val="1"/>
      <w:numFmt w:val="decimal"/>
      <w:pStyle w:val="Heading6"/>
      <w:lvlText w:val="%1.%2.%3.%4.%5.%6"/>
      <w:lvlJc w:val="left"/>
      <w:pPr>
        <w:ind w:left="455" w:hanging="1152"/>
      </w:pPr>
      <w:rPr>
        <w:rFonts w:hint="default"/>
      </w:rPr>
    </w:lvl>
    <w:lvl w:ilvl="6">
      <w:start w:val="1"/>
      <w:numFmt w:val="decimal"/>
      <w:pStyle w:val="Heading7"/>
      <w:lvlText w:val="%1.%2.%3.%4.%5.%6.%7"/>
      <w:lvlJc w:val="left"/>
      <w:pPr>
        <w:ind w:left="599" w:hanging="1296"/>
      </w:pPr>
      <w:rPr>
        <w:rFonts w:hint="default"/>
      </w:rPr>
    </w:lvl>
    <w:lvl w:ilvl="7">
      <w:start w:val="1"/>
      <w:numFmt w:val="decimal"/>
      <w:pStyle w:val="Heading8"/>
      <w:lvlText w:val="%1.%2.%3.%4.%5.%6.%7.%8"/>
      <w:lvlJc w:val="left"/>
      <w:pPr>
        <w:ind w:left="743" w:hanging="1440"/>
      </w:pPr>
      <w:rPr>
        <w:rFonts w:hint="default"/>
      </w:rPr>
    </w:lvl>
    <w:lvl w:ilvl="8">
      <w:start w:val="1"/>
      <w:numFmt w:val="decimal"/>
      <w:pStyle w:val="Heading9"/>
      <w:lvlText w:val="%1.%2.%3.%4.%5.%6.%7.%8.%9"/>
      <w:lvlJc w:val="left"/>
      <w:pPr>
        <w:ind w:left="887" w:hanging="1584"/>
      </w:pPr>
      <w:rPr>
        <w:rFonts w:hint="default"/>
      </w:rPr>
    </w:lvl>
  </w:abstractNum>
  <w:abstractNum w:abstractNumId="19" w15:restartNumberingAfterBreak="0">
    <w:nsid w:val="3BED372B"/>
    <w:multiLevelType w:val="hybridMultilevel"/>
    <w:tmpl w:val="34784D60"/>
    <w:lvl w:ilvl="0" w:tplc="181A0005">
      <w:start w:val="1"/>
      <w:numFmt w:val="bullet"/>
      <w:lvlText w:val=""/>
      <w:lvlJc w:val="left"/>
      <w:pPr>
        <w:ind w:left="1069" w:hanging="360"/>
      </w:pPr>
      <w:rPr>
        <w:rFonts w:ascii="Wingdings" w:hAnsi="Wingdings" w:hint="default"/>
      </w:rPr>
    </w:lvl>
    <w:lvl w:ilvl="1" w:tplc="181A0003">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20" w15:restartNumberingAfterBreak="0">
    <w:nsid w:val="3CF13045"/>
    <w:multiLevelType w:val="hybridMultilevel"/>
    <w:tmpl w:val="16E82088"/>
    <w:lvl w:ilvl="0" w:tplc="AFC4A1F0">
      <w:start w:val="1"/>
      <w:numFmt w:val="bullet"/>
      <w:lvlText w:val="-"/>
      <w:lvlJc w:val="left"/>
      <w:pPr>
        <w:ind w:left="720" w:hanging="360"/>
      </w:pPr>
      <w:rPr>
        <w:rFonts w:ascii="Times New Roman" w:eastAsia="Times New Roman" w:hAnsi="Times New Roman"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21" w15:restartNumberingAfterBreak="0">
    <w:nsid w:val="3D390510"/>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15:restartNumberingAfterBreak="0">
    <w:nsid w:val="43DC0B9D"/>
    <w:multiLevelType w:val="hybridMultilevel"/>
    <w:tmpl w:val="AD9CE160"/>
    <w:lvl w:ilvl="0" w:tplc="BD82D69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638246F"/>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46C52AFD"/>
    <w:multiLevelType w:val="hybridMultilevel"/>
    <w:tmpl w:val="E9ECC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667C"/>
    <w:multiLevelType w:val="hybridMultilevel"/>
    <w:tmpl w:val="45D0B9DE"/>
    <w:lvl w:ilvl="0" w:tplc="05CEFF4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E764DC"/>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15:restartNumberingAfterBreak="0">
    <w:nsid w:val="4F0F4701"/>
    <w:multiLevelType w:val="hybridMultilevel"/>
    <w:tmpl w:val="642A12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900415"/>
    <w:multiLevelType w:val="hybridMultilevel"/>
    <w:tmpl w:val="520CE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AA67AB"/>
    <w:multiLevelType w:val="hybridMultilevel"/>
    <w:tmpl w:val="D4403282"/>
    <w:lvl w:ilvl="0" w:tplc="84EAAC0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975C8E"/>
    <w:multiLevelType w:val="hybridMultilevel"/>
    <w:tmpl w:val="C05C1C70"/>
    <w:lvl w:ilvl="0" w:tplc="195C33A6">
      <w:start w:val="15"/>
      <w:numFmt w:val="bullet"/>
      <w:lvlText w:val="-"/>
      <w:lvlJc w:val="left"/>
      <w:pPr>
        <w:ind w:left="303" w:hanging="360"/>
      </w:pPr>
      <w:rPr>
        <w:rFonts w:ascii="Calibri" w:eastAsiaTheme="minorHAnsi" w:hAnsi="Calibri" w:cs="Calibri" w:hint="default"/>
      </w:rPr>
    </w:lvl>
    <w:lvl w:ilvl="1" w:tplc="08090003" w:tentative="1">
      <w:start w:val="1"/>
      <w:numFmt w:val="bullet"/>
      <w:lvlText w:val="o"/>
      <w:lvlJc w:val="left"/>
      <w:pPr>
        <w:ind w:left="1023" w:hanging="360"/>
      </w:pPr>
      <w:rPr>
        <w:rFonts w:ascii="Courier New" w:hAnsi="Courier New" w:cs="Courier New" w:hint="default"/>
      </w:rPr>
    </w:lvl>
    <w:lvl w:ilvl="2" w:tplc="08090005" w:tentative="1">
      <w:start w:val="1"/>
      <w:numFmt w:val="bullet"/>
      <w:lvlText w:val=""/>
      <w:lvlJc w:val="left"/>
      <w:pPr>
        <w:ind w:left="1743" w:hanging="360"/>
      </w:pPr>
      <w:rPr>
        <w:rFonts w:ascii="Wingdings" w:hAnsi="Wingdings" w:hint="default"/>
      </w:rPr>
    </w:lvl>
    <w:lvl w:ilvl="3" w:tplc="08090001" w:tentative="1">
      <w:start w:val="1"/>
      <w:numFmt w:val="bullet"/>
      <w:lvlText w:val=""/>
      <w:lvlJc w:val="left"/>
      <w:pPr>
        <w:ind w:left="2463" w:hanging="360"/>
      </w:pPr>
      <w:rPr>
        <w:rFonts w:ascii="Symbol" w:hAnsi="Symbol" w:hint="default"/>
      </w:rPr>
    </w:lvl>
    <w:lvl w:ilvl="4" w:tplc="08090003" w:tentative="1">
      <w:start w:val="1"/>
      <w:numFmt w:val="bullet"/>
      <w:lvlText w:val="o"/>
      <w:lvlJc w:val="left"/>
      <w:pPr>
        <w:ind w:left="3183" w:hanging="360"/>
      </w:pPr>
      <w:rPr>
        <w:rFonts w:ascii="Courier New" w:hAnsi="Courier New" w:cs="Courier New" w:hint="default"/>
      </w:rPr>
    </w:lvl>
    <w:lvl w:ilvl="5" w:tplc="08090005" w:tentative="1">
      <w:start w:val="1"/>
      <w:numFmt w:val="bullet"/>
      <w:lvlText w:val=""/>
      <w:lvlJc w:val="left"/>
      <w:pPr>
        <w:ind w:left="3903" w:hanging="360"/>
      </w:pPr>
      <w:rPr>
        <w:rFonts w:ascii="Wingdings" w:hAnsi="Wingdings" w:hint="default"/>
      </w:rPr>
    </w:lvl>
    <w:lvl w:ilvl="6" w:tplc="08090001" w:tentative="1">
      <w:start w:val="1"/>
      <w:numFmt w:val="bullet"/>
      <w:lvlText w:val=""/>
      <w:lvlJc w:val="left"/>
      <w:pPr>
        <w:ind w:left="4623" w:hanging="360"/>
      </w:pPr>
      <w:rPr>
        <w:rFonts w:ascii="Symbol" w:hAnsi="Symbol" w:hint="default"/>
      </w:rPr>
    </w:lvl>
    <w:lvl w:ilvl="7" w:tplc="08090003" w:tentative="1">
      <w:start w:val="1"/>
      <w:numFmt w:val="bullet"/>
      <w:lvlText w:val="o"/>
      <w:lvlJc w:val="left"/>
      <w:pPr>
        <w:ind w:left="5343" w:hanging="360"/>
      </w:pPr>
      <w:rPr>
        <w:rFonts w:ascii="Courier New" w:hAnsi="Courier New" w:cs="Courier New" w:hint="default"/>
      </w:rPr>
    </w:lvl>
    <w:lvl w:ilvl="8" w:tplc="08090005" w:tentative="1">
      <w:start w:val="1"/>
      <w:numFmt w:val="bullet"/>
      <w:lvlText w:val=""/>
      <w:lvlJc w:val="left"/>
      <w:pPr>
        <w:ind w:left="6063" w:hanging="360"/>
      </w:pPr>
      <w:rPr>
        <w:rFonts w:ascii="Wingdings" w:hAnsi="Wingdings" w:hint="default"/>
      </w:rPr>
    </w:lvl>
  </w:abstractNum>
  <w:abstractNum w:abstractNumId="31" w15:restartNumberingAfterBreak="0">
    <w:nsid w:val="63B00FF4"/>
    <w:multiLevelType w:val="hybridMultilevel"/>
    <w:tmpl w:val="8DA20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A40FB9"/>
    <w:multiLevelType w:val="hybridMultilevel"/>
    <w:tmpl w:val="CFAEE162"/>
    <w:lvl w:ilvl="0" w:tplc="195C33A6">
      <w:start w:val="15"/>
      <w:numFmt w:val="bullet"/>
      <w:lvlText w:val="-"/>
      <w:lvlJc w:val="left"/>
      <w:pPr>
        <w:ind w:left="1287" w:hanging="360"/>
      </w:pPr>
      <w:rPr>
        <w:rFonts w:ascii="Calibri" w:eastAsiaTheme="minorHAnsi" w:hAnsi="Calibri" w:cs="Calibri"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33" w15:restartNumberingAfterBreak="0">
    <w:nsid w:val="6618047D"/>
    <w:multiLevelType w:val="hybridMultilevel"/>
    <w:tmpl w:val="9E3E53C2"/>
    <w:lvl w:ilvl="0" w:tplc="6D9A2D98">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2A70DD"/>
    <w:multiLevelType w:val="hybridMultilevel"/>
    <w:tmpl w:val="DB8C3332"/>
    <w:lvl w:ilvl="0" w:tplc="0972B6B6">
      <w:numFmt w:val="bullet"/>
      <w:lvlText w:val=""/>
      <w:lvlJc w:val="left"/>
      <w:pPr>
        <w:ind w:left="720" w:hanging="360"/>
      </w:pPr>
      <w:rPr>
        <w:rFonts w:ascii="Symbol" w:eastAsia="Times New Roman" w:hAnsi="Symbol"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35" w15:restartNumberingAfterBreak="0">
    <w:nsid w:val="694248FC"/>
    <w:multiLevelType w:val="hybridMultilevel"/>
    <w:tmpl w:val="4286599C"/>
    <w:lvl w:ilvl="0" w:tplc="EA0A2874">
      <w:start w:val="1"/>
      <w:numFmt w:val="bullet"/>
      <w:lvlText w:val="-"/>
      <w:lvlJc w:val="left"/>
      <w:pPr>
        <w:ind w:left="1080" w:hanging="360"/>
      </w:pPr>
      <w:rPr>
        <w:rFonts w:ascii="Agency FB" w:hAnsi="Agency FB"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36" w15:restartNumberingAfterBreak="0">
    <w:nsid w:val="6A9766B7"/>
    <w:multiLevelType w:val="hybridMultilevel"/>
    <w:tmpl w:val="8258D3F2"/>
    <w:lvl w:ilvl="0" w:tplc="0409000B">
      <w:start w:val="1"/>
      <w:numFmt w:val="bullet"/>
      <w:lvlText w:val=""/>
      <w:lvlJc w:val="left"/>
      <w:pPr>
        <w:ind w:left="785" w:hanging="360"/>
      </w:pPr>
      <w:rPr>
        <w:rFonts w:ascii="Wingdings" w:hAnsi="Wingdings"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37" w15:restartNumberingAfterBreak="0">
    <w:nsid w:val="6C7E682E"/>
    <w:multiLevelType w:val="hybridMultilevel"/>
    <w:tmpl w:val="59F2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D165B8"/>
    <w:multiLevelType w:val="hybridMultilevel"/>
    <w:tmpl w:val="4B6E337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771113A4"/>
    <w:multiLevelType w:val="hybridMultilevel"/>
    <w:tmpl w:val="6E5C3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AD008D"/>
    <w:multiLevelType w:val="hybridMultilevel"/>
    <w:tmpl w:val="C14280CE"/>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num w:numId="1" w16cid:durableId="1328358708">
    <w:abstractNumId w:val="3"/>
  </w:num>
  <w:num w:numId="2" w16cid:durableId="1243905161">
    <w:abstractNumId w:val="40"/>
  </w:num>
  <w:num w:numId="3" w16cid:durableId="760372111">
    <w:abstractNumId w:val="35"/>
  </w:num>
  <w:num w:numId="4" w16cid:durableId="21514677">
    <w:abstractNumId w:val="18"/>
  </w:num>
  <w:num w:numId="5" w16cid:durableId="320431883">
    <w:abstractNumId w:val="29"/>
  </w:num>
  <w:num w:numId="6" w16cid:durableId="731193750">
    <w:abstractNumId w:val="9"/>
  </w:num>
  <w:num w:numId="7" w16cid:durableId="1519391869">
    <w:abstractNumId w:val="12"/>
  </w:num>
  <w:num w:numId="8" w16cid:durableId="1247375015">
    <w:abstractNumId w:val="5"/>
  </w:num>
  <w:num w:numId="9" w16cid:durableId="1717926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2818496">
    <w:abstractNumId w:val="37"/>
  </w:num>
  <w:num w:numId="11" w16cid:durableId="1980765604">
    <w:abstractNumId w:val="7"/>
  </w:num>
  <w:num w:numId="12" w16cid:durableId="1962682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715257">
    <w:abstractNumId w:val="18"/>
  </w:num>
  <w:num w:numId="14" w16cid:durableId="625307658">
    <w:abstractNumId w:val="18"/>
  </w:num>
  <w:num w:numId="15" w16cid:durableId="2124566430">
    <w:abstractNumId w:val="18"/>
  </w:num>
  <w:num w:numId="16" w16cid:durableId="1586764931">
    <w:abstractNumId w:val="25"/>
  </w:num>
  <w:num w:numId="17" w16cid:durableId="292563346">
    <w:abstractNumId w:val="38"/>
  </w:num>
  <w:num w:numId="18" w16cid:durableId="1146315197">
    <w:abstractNumId w:val="24"/>
  </w:num>
  <w:num w:numId="19" w16cid:durableId="1197039455">
    <w:abstractNumId w:val="14"/>
  </w:num>
  <w:num w:numId="20" w16cid:durableId="9925630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216251">
    <w:abstractNumId w:val="10"/>
  </w:num>
  <w:num w:numId="22" w16cid:durableId="4090373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42965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0199787">
    <w:abstractNumId w:val="39"/>
  </w:num>
  <w:num w:numId="25" w16cid:durableId="855000105">
    <w:abstractNumId w:val="11"/>
  </w:num>
  <w:num w:numId="26" w16cid:durableId="1246382277">
    <w:abstractNumId w:val="8"/>
  </w:num>
  <w:num w:numId="27" w16cid:durableId="2017144527">
    <w:abstractNumId w:val="1"/>
  </w:num>
  <w:num w:numId="28" w16cid:durableId="1551725039">
    <w:abstractNumId w:val="18"/>
  </w:num>
  <w:num w:numId="29" w16cid:durableId="181671966">
    <w:abstractNumId w:val="26"/>
  </w:num>
  <w:num w:numId="30" w16cid:durableId="2127848944">
    <w:abstractNumId w:val="18"/>
  </w:num>
  <w:num w:numId="31" w16cid:durableId="976185837">
    <w:abstractNumId w:val="18"/>
  </w:num>
  <w:num w:numId="32" w16cid:durableId="637884015">
    <w:abstractNumId w:val="18"/>
  </w:num>
  <w:num w:numId="33" w16cid:durableId="968241550">
    <w:abstractNumId w:val="31"/>
  </w:num>
  <w:num w:numId="34" w16cid:durableId="394400790">
    <w:abstractNumId w:val="13"/>
  </w:num>
  <w:num w:numId="35" w16cid:durableId="73925359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5902655">
    <w:abstractNumId w:val="36"/>
  </w:num>
  <w:num w:numId="37" w16cid:durableId="1439640946">
    <w:abstractNumId w:val="21"/>
  </w:num>
  <w:num w:numId="38" w16cid:durableId="6403062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7866872">
    <w:abstractNumId w:val="33"/>
  </w:num>
  <w:num w:numId="40" w16cid:durableId="1650086600">
    <w:abstractNumId w:val="2"/>
  </w:num>
  <w:num w:numId="41" w16cid:durableId="812213417">
    <w:abstractNumId w:val="0"/>
  </w:num>
  <w:num w:numId="42" w16cid:durableId="1879851616">
    <w:abstractNumId w:val="28"/>
  </w:num>
  <w:num w:numId="43" w16cid:durableId="2106150141">
    <w:abstractNumId w:val="4"/>
  </w:num>
  <w:num w:numId="44" w16cid:durableId="11038027">
    <w:abstractNumId w:val="22"/>
  </w:num>
  <w:num w:numId="45" w16cid:durableId="2076778634">
    <w:abstractNumId w:val="23"/>
  </w:num>
  <w:num w:numId="46" w16cid:durableId="1018505652">
    <w:abstractNumId w:val="30"/>
  </w:num>
  <w:num w:numId="47" w16cid:durableId="1806850577">
    <w:abstractNumId w:val="27"/>
  </w:num>
  <w:num w:numId="48" w16cid:durableId="1419063646">
    <w:abstractNumId w:val="18"/>
  </w:num>
  <w:num w:numId="49" w16cid:durableId="1115632807">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28CE"/>
    <w:rsid w:val="00000830"/>
    <w:rsid w:val="000043A7"/>
    <w:rsid w:val="000114D8"/>
    <w:rsid w:val="0001484A"/>
    <w:rsid w:val="00022543"/>
    <w:rsid w:val="00022D7E"/>
    <w:rsid w:val="000255CC"/>
    <w:rsid w:val="00031EFB"/>
    <w:rsid w:val="00032E84"/>
    <w:rsid w:val="00035442"/>
    <w:rsid w:val="0003599C"/>
    <w:rsid w:val="00035D60"/>
    <w:rsid w:val="0004039F"/>
    <w:rsid w:val="00044597"/>
    <w:rsid w:val="000453A3"/>
    <w:rsid w:val="00047093"/>
    <w:rsid w:val="00050922"/>
    <w:rsid w:val="000564FE"/>
    <w:rsid w:val="00056CE2"/>
    <w:rsid w:val="0007264B"/>
    <w:rsid w:val="0007307A"/>
    <w:rsid w:val="00073186"/>
    <w:rsid w:val="00074850"/>
    <w:rsid w:val="00080E2A"/>
    <w:rsid w:val="00081565"/>
    <w:rsid w:val="0008547C"/>
    <w:rsid w:val="000862DE"/>
    <w:rsid w:val="000906C3"/>
    <w:rsid w:val="0009540C"/>
    <w:rsid w:val="0009541E"/>
    <w:rsid w:val="00095842"/>
    <w:rsid w:val="000A0529"/>
    <w:rsid w:val="000A10DE"/>
    <w:rsid w:val="000A3E23"/>
    <w:rsid w:val="000A6D1E"/>
    <w:rsid w:val="000B0DC6"/>
    <w:rsid w:val="000B11E5"/>
    <w:rsid w:val="000B12DD"/>
    <w:rsid w:val="000B1B2A"/>
    <w:rsid w:val="000B323F"/>
    <w:rsid w:val="000C3FE2"/>
    <w:rsid w:val="000D4978"/>
    <w:rsid w:val="000D4DF5"/>
    <w:rsid w:val="000D6A76"/>
    <w:rsid w:val="000D7500"/>
    <w:rsid w:val="000D77BB"/>
    <w:rsid w:val="000E5B8D"/>
    <w:rsid w:val="000E63D1"/>
    <w:rsid w:val="000F3825"/>
    <w:rsid w:val="000F3F68"/>
    <w:rsid w:val="000F5265"/>
    <w:rsid w:val="000F626A"/>
    <w:rsid w:val="001003A0"/>
    <w:rsid w:val="00100631"/>
    <w:rsid w:val="00100CB5"/>
    <w:rsid w:val="00110A5F"/>
    <w:rsid w:val="00112793"/>
    <w:rsid w:val="00115B36"/>
    <w:rsid w:val="001161B1"/>
    <w:rsid w:val="001172FE"/>
    <w:rsid w:val="001175D9"/>
    <w:rsid w:val="00126710"/>
    <w:rsid w:val="00133E2F"/>
    <w:rsid w:val="00134719"/>
    <w:rsid w:val="0013596E"/>
    <w:rsid w:val="00136567"/>
    <w:rsid w:val="00145DBF"/>
    <w:rsid w:val="00145F1F"/>
    <w:rsid w:val="00146320"/>
    <w:rsid w:val="0014689B"/>
    <w:rsid w:val="00151EAC"/>
    <w:rsid w:val="00153947"/>
    <w:rsid w:val="00154C67"/>
    <w:rsid w:val="00156C90"/>
    <w:rsid w:val="00157077"/>
    <w:rsid w:val="001609B5"/>
    <w:rsid w:val="00162870"/>
    <w:rsid w:val="00170F28"/>
    <w:rsid w:val="00171D7C"/>
    <w:rsid w:val="00176C0F"/>
    <w:rsid w:val="00177E40"/>
    <w:rsid w:val="00186915"/>
    <w:rsid w:val="00190E7C"/>
    <w:rsid w:val="00192B7F"/>
    <w:rsid w:val="0019333E"/>
    <w:rsid w:val="00193DD6"/>
    <w:rsid w:val="001957E2"/>
    <w:rsid w:val="0019597A"/>
    <w:rsid w:val="001A496A"/>
    <w:rsid w:val="001B13F1"/>
    <w:rsid w:val="001B2D12"/>
    <w:rsid w:val="001B3F66"/>
    <w:rsid w:val="001B7215"/>
    <w:rsid w:val="001B7591"/>
    <w:rsid w:val="001C64D5"/>
    <w:rsid w:val="001C6A18"/>
    <w:rsid w:val="001D0272"/>
    <w:rsid w:val="001D1040"/>
    <w:rsid w:val="001D1496"/>
    <w:rsid w:val="001D4197"/>
    <w:rsid w:val="001D6262"/>
    <w:rsid w:val="001E125D"/>
    <w:rsid w:val="001E1291"/>
    <w:rsid w:val="001E56A4"/>
    <w:rsid w:val="001F0DD9"/>
    <w:rsid w:val="001F165A"/>
    <w:rsid w:val="001F342D"/>
    <w:rsid w:val="001F34CF"/>
    <w:rsid w:val="002006B3"/>
    <w:rsid w:val="002010FC"/>
    <w:rsid w:val="00204DC4"/>
    <w:rsid w:val="00205408"/>
    <w:rsid w:val="00207C56"/>
    <w:rsid w:val="00221B3B"/>
    <w:rsid w:val="00224AB9"/>
    <w:rsid w:val="00224F43"/>
    <w:rsid w:val="00227127"/>
    <w:rsid w:val="00231F4C"/>
    <w:rsid w:val="002329D9"/>
    <w:rsid w:val="00233ABD"/>
    <w:rsid w:val="00234CD7"/>
    <w:rsid w:val="00235F34"/>
    <w:rsid w:val="0024753F"/>
    <w:rsid w:val="00254A9F"/>
    <w:rsid w:val="00257BC9"/>
    <w:rsid w:val="00261734"/>
    <w:rsid w:val="002617C2"/>
    <w:rsid w:val="00261970"/>
    <w:rsid w:val="00267702"/>
    <w:rsid w:val="0027056D"/>
    <w:rsid w:val="0027707D"/>
    <w:rsid w:val="00277B78"/>
    <w:rsid w:val="0028045D"/>
    <w:rsid w:val="00281567"/>
    <w:rsid w:val="0028309E"/>
    <w:rsid w:val="00291F51"/>
    <w:rsid w:val="00295971"/>
    <w:rsid w:val="002A03BF"/>
    <w:rsid w:val="002A34B0"/>
    <w:rsid w:val="002A448C"/>
    <w:rsid w:val="002A6399"/>
    <w:rsid w:val="002B3E55"/>
    <w:rsid w:val="002B781D"/>
    <w:rsid w:val="002C39B2"/>
    <w:rsid w:val="002C581F"/>
    <w:rsid w:val="002C5D98"/>
    <w:rsid w:val="002C66E2"/>
    <w:rsid w:val="002D0C0C"/>
    <w:rsid w:val="002D3E1C"/>
    <w:rsid w:val="002E4D61"/>
    <w:rsid w:val="002E55FE"/>
    <w:rsid w:val="002F1D12"/>
    <w:rsid w:val="002F3892"/>
    <w:rsid w:val="002F41CE"/>
    <w:rsid w:val="003033B1"/>
    <w:rsid w:val="003050CF"/>
    <w:rsid w:val="003055E3"/>
    <w:rsid w:val="003072E7"/>
    <w:rsid w:val="00311668"/>
    <w:rsid w:val="00315188"/>
    <w:rsid w:val="00315B99"/>
    <w:rsid w:val="00316BE7"/>
    <w:rsid w:val="00322730"/>
    <w:rsid w:val="00330E97"/>
    <w:rsid w:val="00331836"/>
    <w:rsid w:val="00333009"/>
    <w:rsid w:val="0034035E"/>
    <w:rsid w:val="003421E1"/>
    <w:rsid w:val="003425BB"/>
    <w:rsid w:val="003440AC"/>
    <w:rsid w:val="0034588E"/>
    <w:rsid w:val="00351F6F"/>
    <w:rsid w:val="00357B9E"/>
    <w:rsid w:val="0036048B"/>
    <w:rsid w:val="00366869"/>
    <w:rsid w:val="003718EF"/>
    <w:rsid w:val="00376C8B"/>
    <w:rsid w:val="003772BF"/>
    <w:rsid w:val="00380094"/>
    <w:rsid w:val="00382436"/>
    <w:rsid w:val="0038617C"/>
    <w:rsid w:val="00386749"/>
    <w:rsid w:val="00387892"/>
    <w:rsid w:val="00393275"/>
    <w:rsid w:val="00397706"/>
    <w:rsid w:val="003A01EB"/>
    <w:rsid w:val="003A0252"/>
    <w:rsid w:val="003A1210"/>
    <w:rsid w:val="003A4531"/>
    <w:rsid w:val="003B0D4B"/>
    <w:rsid w:val="003B565C"/>
    <w:rsid w:val="003B5FF2"/>
    <w:rsid w:val="003C0B45"/>
    <w:rsid w:val="003D08FA"/>
    <w:rsid w:val="003D4CF2"/>
    <w:rsid w:val="003D586F"/>
    <w:rsid w:val="003E0284"/>
    <w:rsid w:val="003E06DA"/>
    <w:rsid w:val="003E1831"/>
    <w:rsid w:val="003E42F7"/>
    <w:rsid w:val="003E72B8"/>
    <w:rsid w:val="003F10A5"/>
    <w:rsid w:val="003F520A"/>
    <w:rsid w:val="0040244D"/>
    <w:rsid w:val="004026A1"/>
    <w:rsid w:val="0040480C"/>
    <w:rsid w:val="00405992"/>
    <w:rsid w:val="00405CBF"/>
    <w:rsid w:val="00405E80"/>
    <w:rsid w:val="004060D8"/>
    <w:rsid w:val="004073ED"/>
    <w:rsid w:val="0041052D"/>
    <w:rsid w:val="00420166"/>
    <w:rsid w:val="004203B0"/>
    <w:rsid w:val="0042230F"/>
    <w:rsid w:val="00424F1A"/>
    <w:rsid w:val="0043234C"/>
    <w:rsid w:val="004339AA"/>
    <w:rsid w:val="00434025"/>
    <w:rsid w:val="004353DF"/>
    <w:rsid w:val="00436B49"/>
    <w:rsid w:val="004376F1"/>
    <w:rsid w:val="004411EF"/>
    <w:rsid w:val="004414AB"/>
    <w:rsid w:val="00443526"/>
    <w:rsid w:val="004442C9"/>
    <w:rsid w:val="00450F12"/>
    <w:rsid w:val="00452A83"/>
    <w:rsid w:val="004614A2"/>
    <w:rsid w:val="00466C8F"/>
    <w:rsid w:val="00470A0F"/>
    <w:rsid w:val="00472F6D"/>
    <w:rsid w:val="00477958"/>
    <w:rsid w:val="00482EB1"/>
    <w:rsid w:val="0048457A"/>
    <w:rsid w:val="004861A7"/>
    <w:rsid w:val="00491B68"/>
    <w:rsid w:val="004957BF"/>
    <w:rsid w:val="00495BFF"/>
    <w:rsid w:val="004960DC"/>
    <w:rsid w:val="00496C87"/>
    <w:rsid w:val="00497652"/>
    <w:rsid w:val="004979D7"/>
    <w:rsid w:val="004A0FC1"/>
    <w:rsid w:val="004A2ED5"/>
    <w:rsid w:val="004B17B7"/>
    <w:rsid w:val="004B4826"/>
    <w:rsid w:val="004B60FE"/>
    <w:rsid w:val="004C0593"/>
    <w:rsid w:val="004C1197"/>
    <w:rsid w:val="004C689E"/>
    <w:rsid w:val="004D129B"/>
    <w:rsid w:val="004D2531"/>
    <w:rsid w:val="004D5CC0"/>
    <w:rsid w:val="004E0508"/>
    <w:rsid w:val="004E0730"/>
    <w:rsid w:val="004E39B0"/>
    <w:rsid w:val="004F4126"/>
    <w:rsid w:val="004F44B1"/>
    <w:rsid w:val="004F5522"/>
    <w:rsid w:val="004F7C5C"/>
    <w:rsid w:val="00506544"/>
    <w:rsid w:val="0051391C"/>
    <w:rsid w:val="00520631"/>
    <w:rsid w:val="005220A8"/>
    <w:rsid w:val="00523120"/>
    <w:rsid w:val="00524E40"/>
    <w:rsid w:val="0053265D"/>
    <w:rsid w:val="00536C46"/>
    <w:rsid w:val="005414F6"/>
    <w:rsid w:val="00544946"/>
    <w:rsid w:val="005512AC"/>
    <w:rsid w:val="0055266E"/>
    <w:rsid w:val="00552C7C"/>
    <w:rsid w:val="00560844"/>
    <w:rsid w:val="0056236A"/>
    <w:rsid w:val="0056392F"/>
    <w:rsid w:val="00566221"/>
    <w:rsid w:val="005677C6"/>
    <w:rsid w:val="00573B4E"/>
    <w:rsid w:val="005765DB"/>
    <w:rsid w:val="00580CFB"/>
    <w:rsid w:val="00585303"/>
    <w:rsid w:val="00586B80"/>
    <w:rsid w:val="00593CC1"/>
    <w:rsid w:val="005957AD"/>
    <w:rsid w:val="00596DD2"/>
    <w:rsid w:val="005A0F98"/>
    <w:rsid w:val="005A1261"/>
    <w:rsid w:val="005A30D8"/>
    <w:rsid w:val="005A78F0"/>
    <w:rsid w:val="005B1E90"/>
    <w:rsid w:val="005B21B1"/>
    <w:rsid w:val="005B275C"/>
    <w:rsid w:val="005C0928"/>
    <w:rsid w:val="005C3990"/>
    <w:rsid w:val="005C65E0"/>
    <w:rsid w:val="005C7735"/>
    <w:rsid w:val="005D75A5"/>
    <w:rsid w:val="005E1D59"/>
    <w:rsid w:val="005E4D28"/>
    <w:rsid w:val="005E5641"/>
    <w:rsid w:val="005E7013"/>
    <w:rsid w:val="005F00E1"/>
    <w:rsid w:val="005F32B8"/>
    <w:rsid w:val="005F377D"/>
    <w:rsid w:val="005F3C0E"/>
    <w:rsid w:val="005F5008"/>
    <w:rsid w:val="006032BF"/>
    <w:rsid w:val="0060565E"/>
    <w:rsid w:val="0062399A"/>
    <w:rsid w:val="00623FBA"/>
    <w:rsid w:val="00632D06"/>
    <w:rsid w:val="00633D82"/>
    <w:rsid w:val="0063479F"/>
    <w:rsid w:val="00640079"/>
    <w:rsid w:val="00642106"/>
    <w:rsid w:val="006421E8"/>
    <w:rsid w:val="00643CDC"/>
    <w:rsid w:val="00646428"/>
    <w:rsid w:val="00647E2F"/>
    <w:rsid w:val="00651ABA"/>
    <w:rsid w:val="00652230"/>
    <w:rsid w:val="00652948"/>
    <w:rsid w:val="0066171A"/>
    <w:rsid w:val="00661D85"/>
    <w:rsid w:val="00663C94"/>
    <w:rsid w:val="00667A46"/>
    <w:rsid w:val="00670978"/>
    <w:rsid w:val="00672C50"/>
    <w:rsid w:val="006730DA"/>
    <w:rsid w:val="00673523"/>
    <w:rsid w:val="00675F30"/>
    <w:rsid w:val="006854CF"/>
    <w:rsid w:val="006910BA"/>
    <w:rsid w:val="00694BC7"/>
    <w:rsid w:val="006A7B25"/>
    <w:rsid w:val="006B2734"/>
    <w:rsid w:val="006B53E3"/>
    <w:rsid w:val="006B5B97"/>
    <w:rsid w:val="006B6E0C"/>
    <w:rsid w:val="006C0A13"/>
    <w:rsid w:val="006C5AE6"/>
    <w:rsid w:val="006D0458"/>
    <w:rsid w:val="006F137C"/>
    <w:rsid w:val="006F19FB"/>
    <w:rsid w:val="006F3D24"/>
    <w:rsid w:val="006F422B"/>
    <w:rsid w:val="006F4E8B"/>
    <w:rsid w:val="006F55F6"/>
    <w:rsid w:val="006F5C27"/>
    <w:rsid w:val="0070133F"/>
    <w:rsid w:val="00702DDD"/>
    <w:rsid w:val="0070335D"/>
    <w:rsid w:val="0070432C"/>
    <w:rsid w:val="00704D5B"/>
    <w:rsid w:val="00705880"/>
    <w:rsid w:val="0070648D"/>
    <w:rsid w:val="007163DC"/>
    <w:rsid w:val="00720112"/>
    <w:rsid w:val="00721BCA"/>
    <w:rsid w:val="007232BF"/>
    <w:rsid w:val="007233AB"/>
    <w:rsid w:val="0072415F"/>
    <w:rsid w:val="00730BD2"/>
    <w:rsid w:val="0073226D"/>
    <w:rsid w:val="0073483B"/>
    <w:rsid w:val="007461CF"/>
    <w:rsid w:val="0075373D"/>
    <w:rsid w:val="007540E7"/>
    <w:rsid w:val="00754BBD"/>
    <w:rsid w:val="0075526B"/>
    <w:rsid w:val="0075782C"/>
    <w:rsid w:val="007612BA"/>
    <w:rsid w:val="00762B8E"/>
    <w:rsid w:val="00772575"/>
    <w:rsid w:val="007765FE"/>
    <w:rsid w:val="00783EC2"/>
    <w:rsid w:val="00785B10"/>
    <w:rsid w:val="00790521"/>
    <w:rsid w:val="007951D7"/>
    <w:rsid w:val="007955CF"/>
    <w:rsid w:val="00796380"/>
    <w:rsid w:val="00796E2E"/>
    <w:rsid w:val="007A0B78"/>
    <w:rsid w:val="007A12B3"/>
    <w:rsid w:val="007A16D6"/>
    <w:rsid w:val="007B15C8"/>
    <w:rsid w:val="007B4320"/>
    <w:rsid w:val="007C0F64"/>
    <w:rsid w:val="007C35E5"/>
    <w:rsid w:val="007C4669"/>
    <w:rsid w:val="007D1075"/>
    <w:rsid w:val="007D2D6B"/>
    <w:rsid w:val="007D4FC0"/>
    <w:rsid w:val="007E2F40"/>
    <w:rsid w:val="007F6481"/>
    <w:rsid w:val="008022BA"/>
    <w:rsid w:val="0081191D"/>
    <w:rsid w:val="00813470"/>
    <w:rsid w:val="00814C34"/>
    <w:rsid w:val="00815F76"/>
    <w:rsid w:val="008302F2"/>
    <w:rsid w:val="00832BA8"/>
    <w:rsid w:val="008351AC"/>
    <w:rsid w:val="00840155"/>
    <w:rsid w:val="008416FF"/>
    <w:rsid w:val="008423A6"/>
    <w:rsid w:val="0084341E"/>
    <w:rsid w:val="008438C3"/>
    <w:rsid w:val="00843E5F"/>
    <w:rsid w:val="0084538F"/>
    <w:rsid w:val="00854204"/>
    <w:rsid w:val="00861C8B"/>
    <w:rsid w:val="008641AE"/>
    <w:rsid w:val="00867B49"/>
    <w:rsid w:val="00871E88"/>
    <w:rsid w:val="00872AAC"/>
    <w:rsid w:val="00875596"/>
    <w:rsid w:val="00876F9E"/>
    <w:rsid w:val="00877217"/>
    <w:rsid w:val="0088335F"/>
    <w:rsid w:val="00891A65"/>
    <w:rsid w:val="00897D10"/>
    <w:rsid w:val="008A0055"/>
    <w:rsid w:val="008A1035"/>
    <w:rsid w:val="008A1361"/>
    <w:rsid w:val="008A17F3"/>
    <w:rsid w:val="008A1C5B"/>
    <w:rsid w:val="008A4294"/>
    <w:rsid w:val="008C03C1"/>
    <w:rsid w:val="008C351A"/>
    <w:rsid w:val="008C3ACA"/>
    <w:rsid w:val="008D017C"/>
    <w:rsid w:val="008D04D1"/>
    <w:rsid w:val="008D0FE5"/>
    <w:rsid w:val="008D249A"/>
    <w:rsid w:val="008D68B8"/>
    <w:rsid w:val="008E37B1"/>
    <w:rsid w:val="008E4144"/>
    <w:rsid w:val="008E7374"/>
    <w:rsid w:val="008F0597"/>
    <w:rsid w:val="008F1971"/>
    <w:rsid w:val="008F6836"/>
    <w:rsid w:val="008F7CB0"/>
    <w:rsid w:val="009035EE"/>
    <w:rsid w:val="0090523D"/>
    <w:rsid w:val="00906364"/>
    <w:rsid w:val="00906C9F"/>
    <w:rsid w:val="00906ECC"/>
    <w:rsid w:val="0091431E"/>
    <w:rsid w:val="00916812"/>
    <w:rsid w:val="0092337D"/>
    <w:rsid w:val="00923FF1"/>
    <w:rsid w:val="00925126"/>
    <w:rsid w:val="00927175"/>
    <w:rsid w:val="00927262"/>
    <w:rsid w:val="0093403F"/>
    <w:rsid w:val="00944EF0"/>
    <w:rsid w:val="00945E8E"/>
    <w:rsid w:val="009503C4"/>
    <w:rsid w:val="009545F0"/>
    <w:rsid w:val="009552DF"/>
    <w:rsid w:val="00957813"/>
    <w:rsid w:val="00960905"/>
    <w:rsid w:val="009628CE"/>
    <w:rsid w:val="00963D67"/>
    <w:rsid w:val="00964F39"/>
    <w:rsid w:val="00965E3A"/>
    <w:rsid w:val="009704D0"/>
    <w:rsid w:val="00972268"/>
    <w:rsid w:val="0097726E"/>
    <w:rsid w:val="0098089A"/>
    <w:rsid w:val="009810AD"/>
    <w:rsid w:val="009813BA"/>
    <w:rsid w:val="009817DA"/>
    <w:rsid w:val="009845F0"/>
    <w:rsid w:val="00986D3F"/>
    <w:rsid w:val="009926A9"/>
    <w:rsid w:val="0099548C"/>
    <w:rsid w:val="009961B6"/>
    <w:rsid w:val="009A2ADA"/>
    <w:rsid w:val="009A3C1C"/>
    <w:rsid w:val="009A7FC2"/>
    <w:rsid w:val="009B3011"/>
    <w:rsid w:val="009B313B"/>
    <w:rsid w:val="009C0BB3"/>
    <w:rsid w:val="009C73C2"/>
    <w:rsid w:val="009D65E1"/>
    <w:rsid w:val="009D721C"/>
    <w:rsid w:val="009E486E"/>
    <w:rsid w:val="009E595E"/>
    <w:rsid w:val="009F081F"/>
    <w:rsid w:val="00A018F1"/>
    <w:rsid w:val="00A04254"/>
    <w:rsid w:val="00A07227"/>
    <w:rsid w:val="00A0750D"/>
    <w:rsid w:val="00A07741"/>
    <w:rsid w:val="00A107DC"/>
    <w:rsid w:val="00A11663"/>
    <w:rsid w:val="00A11D13"/>
    <w:rsid w:val="00A1254C"/>
    <w:rsid w:val="00A14F1E"/>
    <w:rsid w:val="00A1510F"/>
    <w:rsid w:val="00A17E48"/>
    <w:rsid w:val="00A2023D"/>
    <w:rsid w:val="00A2091B"/>
    <w:rsid w:val="00A2243C"/>
    <w:rsid w:val="00A22CE4"/>
    <w:rsid w:val="00A277DE"/>
    <w:rsid w:val="00A27E74"/>
    <w:rsid w:val="00A30C90"/>
    <w:rsid w:val="00A3728F"/>
    <w:rsid w:val="00A40890"/>
    <w:rsid w:val="00A44387"/>
    <w:rsid w:val="00A4635E"/>
    <w:rsid w:val="00A6323D"/>
    <w:rsid w:val="00A634F3"/>
    <w:rsid w:val="00A63871"/>
    <w:rsid w:val="00A63AF7"/>
    <w:rsid w:val="00A64819"/>
    <w:rsid w:val="00A66216"/>
    <w:rsid w:val="00A66B98"/>
    <w:rsid w:val="00A71791"/>
    <w:rsid w:val="00A72AB0"/>
    <w:rsid w:val="00A763D6"/>
    <w:rsid w:val="00A815FE"/>
    <w:rsid w:val="00A839BD"/>
    <w:rsid w:val="00A85FE6"/>
    <w:rsid w:val="00A92F69"/>
    <w:rsid w:val="00A930F0"/>
    <w:rsid w:val="00A931B6"/>
    <w:rsid w:val="00A94227"/>
    <w:rsid w:val="00A95A28"/>
    <w:rsid w:val="00A95C69"/>
    <w:rsid w:val="00AA3D93"/>
    <w:rsid w:val="00AA43D9"/>
    <w:rsid w:val="00AB0D41"/>
    <w:rsid w:val="00AB10AC"/>
    <w:rsid w:val="00AB1F26"/>
    <w:rsid w:val="00AB2914"/>
    <w:rsid w:val="00AB32E9"/>
    <w:rsid w:val="00AB412C"/>
    <w:rsid w:val="00AC0264"/>
    <w:rsid w:val="00AC0E79"/>
    <w:rsid w:val="00AC1D6C"/>
    <w:rsid w:val="00AC3F0A"/>
    <w:rsid w:val="00AC5B9D"/>
    <w:rsid w:val="00AC5C50"/>
    <w:rsid w:val="00AD49B6"/>
    <w:rsid w:val="00AE1BDE"/>
    <w:rsid w:val="00AE35A2"/>
    <w:rsid w:val="00AE4105"/>
    <w:rsid w:val="00AE5D1A"/>
    <w:rsid w:val="00AE5DAA"/>
    <w:rsid w:val="00AE7570"/>
    <w:rsid w:val="00AF2D31"/>
    <w:rsid w:val="00AF50C0"/>
    <w:rsid w:val="00AF7B11"/>
    <w:rsid w:val="00B00EAA"/>
    <w:rsid w:val="00B02B1F"/>
    <w:rsid w:val="00B032A1"/>
    <w:rsid w:val="00B23AE7"/>
    <w:rsid w:val="00B31068"/>
    <w:rsid w:val="00B3246F"/>
    <w:rsid w:val="00B32CF6"/>
    <w:rsid w:val="00B34068"/>
    <w:rsid w:val="00B348EC"/>
    <w:rsid w:val="00B37B23"/>
    <w:rsid w:val="00B419E0"/>
    <w:rsid w:val="00B45844"/>
    <w:rsid w:val="00B47DBC"/>
    <w:rsid w:val="00B51745"/>
    <w:rsid w:val="00B51C44"/>
    <w:rsid w:val="00B54972"/>
    <w:rsid w:val="00B57992"/>
    <w:rsid w:val="00B60F0E"/>
    <w:rsid w:val="00B7556C"/>
    <w:rsid w:val="00B81AB5"/>
    <w:rsid w:val="00B82CCA"/>
    <w:rsid w:val="00B84A19"/>
    <w:rsid w:val="00B85F96"/>
    <w:rsid w:val="00B86612"/>
    <w:rsid w:val="00B90F55"/>
    <w:rsid w:val="00B92582"/>
    <w:rsid w:val="00B947C5"/>
    <w:rsid w:val="00B974AC"/>
    <w:rsid w:val="00BA300A"/>
    <w:rsid w:val="00BA4518"/>
    <w:rsid w:val="00BA50A0"/>
    <w:rsid w:val="00BA602E"/>
    <w:rsid w:val="00BB463D"/>
    <w:rsid w:val="00BC13EA"/>
    <w:rsid w:val="00BC3BA5"/>
    <w:rsid w:val="00BC597A"/>
    <w:rsid w:val="00BC6DCF"/>
    <w:rsid w:val="00BC6F8F"/>
    <w:rsid w:val="00BD318D"/>
    <w:rsid w:val="00BD66D9"/>
    <w:rsid w:val="00BD670C"/>
    <w:rsid w:val="00BD7BCD"/>
    <w:rsid w:val="00BE2B3D"/>
    <w:rsid w:val="00BE4232"/>
    <w:rsid w:val="00BE61EB"/>
    <w:rsid w:val="00BF311C"/>
    <w:rsid w:val="00BF5474"/>
    <w:rsid w:val="00BF6D48"/>
    <w:rsid w:val="00C00854"/>
    <w:rsid w:val="00C04E63"/>
    <w:rsid w:val="00C16276"/>
    <w:rsid w:val="00C21486"/>
    <w:rsid w:val="00C22201"/>
    <w:rsid w:val="00C25B18"/>
    <w:rsid w:val="00C344F6"/>
    <w:rsid w:val="00C34E2D"/>
    <w:rsid w:val="00C3571F"/>
    <w:rsid w:val="00C35AB4"/>
    <w:rsid w:val="00C37211"/>
    <w:rsid w:val="00C42994"/>
    <w:rsid w:val="00C4367A"/>
    <w:rsid w:val="00C52DD7"/>
    <w:rsid w:val="00C547C0"/>
    <w:rsid w:val="00C56626"/>
    <w:rsid w:val="00C57F10"/>
    <w:rsid w:val="00C633E1"/>
    <w:rsid w:val="00C6446B"/>
    <w:rsid w:val="00C64B5B"/>
    <w:rsid w:val="00C66D9B"/>
    <w:rsid w:val="00C67EAF"/>
    <w:rsid w:val="00C718E7"/>
    <w:rsid w:val="00C71D0A"/>
    <w:rsid w:val="00C760EF"/>
    <w:rsid w:val="00C764EC"/>
    <w:rsid w:val="00C77413"/>
    <w:rsid w:val="00C81C28"/>
    <w:rsid w:val="00C82038"/>
    <w:rsid w:val="00C86142"/>
    <w:rsid w:val="00C90145"/>
    <w:rsid w:val="00C92824"/>
    <w:rsid w:val="00C94481"/>
    <w:rsid w:val="00CA5648"/>
    <w:rsid w:val="00CB089E"/>
    <w:rsid w:val="00CB11B4"/>
    <w:rsid w:val="00CB13B3"/>
    <w:rsid w:val="00CB25D5"/>
    <w:rsid w:val="00CB3F52"/>
    <w:rsid w:val="00CC42DE"/>
    <w:rsid w:val="00CC564F"/>
    <w:rsid w:val="00CC5DBA"/>
    <w:rsid w:val="00CC6482"/>
    <w:rsid w:val="00CD184B"/>
    <w:rsid w:val="00CD38E4"/>
    <w:rsid w:val="00CD6308"/>
    <w:rsid w:val="00CE0F78"/>
    <w:rsid w:val="00CE5A53"/>
    <w:rsid w:val="00CF1C8F"/>
    <w:rsid w:val="00CF1DAB"/>
    <w:rsid w:val="00CF3DB6"/>
    <w:rsid w:val="00CF4EB7"/>
    <w:rsid w:val="00CF5514"/>
    <w:rsid w:val="00CF68F9"/>
    <w:rsid w:val="00CF6BE6"/>
    <w:rsid w:val="00D02363"/>
    <w:rsid w:val="00D02728"/>
    <w:rsid w:val="00D02783"/>
    <w:rsid w:val="00D033F3"/>
    <w:rsid w:val="00D034DA"/>
    <w:rsid w:val="00D04ABD"/>
    <w:rsid w:val="00D05D64"/>
    <w:rsid w:val="00D0706D"/>
    <w:rsid w:val="00D123C0"/>
    <w:rsid w:val="00D15E8F"/>
    <w:rsid w:val="00D239B3"/>
    <w:rsid w:val="00D26C00"/>
    <w:rsid w:val="00D27892"/>
    <w:rsid w:val="00D32B4D"/>
    <w:rsid w:val="00D32BE3"/>
    <w:rsid w:val="00D34785"/>
    <w:rsid w:val="00D3478F"/>
    <w:rsid w:val="00D347D0"/>
    <w:rsid w:val="00D36AD9"/>
    <w:rsid w:val="00D37139"/>
    <w:rsid w:val="00D3757B"/>
    <w:rsid w:val="00D3771E"/>
    <w:rsid w:val="00D4067D"/>
    <w:rsid w:val="00D40897"/>
    <w:rsid w:val="00D449E7"/>
    <w:rsid w:val="00D46B8D"/>
    <w:rsid w:val="00D47B2E"/>
    <w:rsid w:val="00D47B60"/>
    <w:rsid w:val="00D47CB6"/>
    <w:rsid w:val="00D50A02"/>
    <w:rsid w:val="00D525F2"/>
    <w:rsid w:val="00D554E1"/>
    <w:rsid w:val="00D644B2"/>
    <w:rsid w:val="00D64DA2"/>
    <w:rsid w:val="00D66F63"/>
    <w:rsid w:val="00D70432"/>
    <w:rsid w:val="00D7623C"/>
    <w:rsid w:val="00D815E3"/>
    <w:rsid w:val="00DA14B9"/>
    <w:rsid w:val="00DB1C57"/>
    <w:rsid w:val="00DB2B8A"/>
    <w:rsid w:val="00DB34E6"/>
    <w:rsid w:val="00DB5D29"/>
    <w:rsid w:val="00DB7B1C"/>
    <w:rsid w:val="00DC0030"/>
    <w:rsid w:val="00DC4371"/>
    <w:rsid w:val="00DE04C6"/>
    <w:rsid w:val="00DE0870"/>
    <w:rsid w:val="00DF241A"/>
    <w:rsid w:val="00DF38E3"/>
    <w:rsid w:val="00DF43DE"/>
    <w:rsid w:val="00DF51BC"/>
    <w:rsid w:val="00DF68B0"/>
    <w:rsid w:val="00DF6CBB"/>
    <w:rsid w:val="00E00890"/>
    <w:rsid w:val="00E058DB"/>
    <w:rsid w:val="00E069B9"/>
    <w:rsid w:val="00E072A1"/>
    <w:rsid w:val="00E14353"/>
    <w:rsid w:val="00E16D3E"/>
    <w:rsid w:val="00E1707F"/>
    <w:rsid w:val="00E20020"/>
    <w:rsid w:val="00E20331"/>
    <w:rsid w:val="00E2608B"/>
    <w:rsid w:val="00E2729B"/>
    <w:rsid w:val="00E32BDC"/>
    <w:rsid w:val="00E3342A"/>
    <w:rsid w:val="00E3542B"/>
    <w:rsid w:val="00E40CCC"/>
    <w:rsid w:val="00E46054"/>
    <w:rsid w:val="00E46789"/>
    <w:rsid w:val="00E467C5"/>
    <w:rsid w:val="00E51166"/>
    <w:rsid w:val="00E55C8C"/>
    <w:rsid w:val="00E564A8"/>
    <w:rsid w:val="00E565C0"/>
    <w:rsid w:val="00E7118C"/>
    <w:rsid w:val="00E72FB0"/>
    <w:rsid w:val="00E735DE"/>
    <w:rsid w:val="00E84A26"/>
    <w:rsid w:val="00E84C7C"/>
    <w:rsid w:val="00E865BB"/>
    <w:rsid w:val="00EA101F"/>
    <w:rsid w:val="00EA2C37"/>
    <w:rsid w:val="00EA7479"/>
    <w:rsid w:val="00EA7BE3"/>
    <w:rsid w:val="00EB0167"/>
    <w:rsid w:val="00EB33B4"/>
    <w:rsid w:val="00EB3838"/>
    <w:rsid w:val="00EB77D7"/>
    <w:rsid w:val="00EC0877"/>
    <w:rsid w:val="00EC2007"/>
    <w:rsid w:val="00EC2947"/>
    <w:rsid w:val="00EC6422"/>
    <w:rsid w:val="00ED30A7"/>
    <w:rsid w:val="00ED6BDC"/>
    <w:rsid w:val="00ED6CA6"/>
    <w:rsid w:val="00ED706F"/>
    <w:rsid w:val="00EE1C8C"/>
    <w:rsid w:val="00EE5DEE"/>
    <w:rsid w:val="00EE635F"/>
    <w:rsid w:val="00EF1648"/>
    <w:rsid w:val="00EF2179"/>
    <w:rsid w:val="00F026B0"/>
    <w:rsid w:val="00F03E16"/>
    <w:rsid w:val="00F0610F"/>
    <w:rsid w:val="00F206BF"/>
    <w:rsid w:val="00F2192D"/>
    <w:rsid w:val="00F2365C"/>
    <w:rsid w:val="00F248F4"/>
    <w:rsid w:val="00F24965"/>
    <w:rsid w:val="00F25F0A"/>
    <w:rsid w:val="00F40EB0"/>
    <w:rsid w:val="00F43304"/>
    <w:rsid w:val="00F441CC"/>
    <w:rsid w:val="00F44CD0"/>
    <w:rsid w:val="00F52437"/>
    <w:rsid w:val="00F575BE"/>
    <w:rsid w:val="00F57842"/>
    <w:rsid w:val="00F63D40"/>
    <w:rsid w:val="00F700E3"/>
    <w:rsid w:val="00F73AE6"/>
    <w:rsid w:val="00F73E92"/>
    <w:rsid w:val="00F76957"/>
    <w:rsid w:val="00F76CC7"/>
    <w:rsid w:val="00F774B4"/>
    <w:rsid w:val="00F8441F"/>
    <w:rsid w:val="00F85919"/>
    <w:rsid w:val="00F91AD3"/>
    <w:rsid w:val="00F97133"/>
    <w:rsid w:val="00FB03F8"/>
    <w:rsid w:val="00FB067C"/>
    <w:rsid w:val="00FB268D"/>
    <w:rsid w:val="00FB29D8"/>
    <w:rsid w:val="00FC2273"/>
    <w:rsid w:val="00FC466B"/>
    <w:rsid w:val="00FC63D2"/>
    <w:rsid w:val="00FD3C0C"/>
    <w:rsid w:val="00FD549B"/>
    <w:rsid w:val="00FE025C"/>
    <w:rsid w:val="00FE344B"/>
    <w:rsid w:val="00FF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52C5"/>
  <w15:docId w15:val="{3F28ABFF-E0A6-41D1-B23B-6A790371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8CE"/>
    <w:pPr>
      <w:spacing w:after="120" w:line="264" w:lineRule="auto"/>
      <w:ind w:firstLine="709"/>
      <w:jc w:val="both"/>
    </w:pPr>
  </w:style>
  <w:style w:type="paragraph" w:styleId="Heading1">
    <w:name w:val="heading 1"/>
    <w:basedOn w:val="Normal"/>
    <w:next w:val="Normal"/>
    <w:link w:val="Heading1Char"/>
    <w:uiPriority w:val="9"/>
    <w:qFormat/>
    <w:rsid w:val="009628CE"/>
    <w:pPr>
      <w:keepNext/>
      <w:numPr>
        <w:numId w:val="4"/>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9628CE"/>
    <w:pPr>
      <w:keepNext/>
      <w:numPr>
        <w:ilvl w:val="1"/>
        <w:numId w:val="4"/>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9628CE"/>
    <w:pPr>
      <w:keepNext/>
      <w:numPr>
        <w:ilvl w:val="2"/>
        <w:numId w:val="4"/>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9628CE"/>
    <w:pPr>
      <w:keepNext/>
      <w:keepLines/>
      <w:numPr>
        <w:ilvl w:val="3"/>
        <w:numId w:val="4"/>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9628C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28C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628C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28C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9628C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8CE"/>
    <w:rPr>
      <w:rFonts w:asciiTheme="majorHAnsi" w:eastAsiaTheme="majorEastAsia" w:hAnsiTheme="majorHAnsi"/>
      <w:b/>
      <w:bCs/>
      <w:caps/>
      <w:color w:val="FFFFFF" w:themeColor="background1"/>
      <w:kern w:val="32"/>
      <w:sz w:val="28"/>
      <w:szCs w:val="32"/>
      <w:shd w:val="clear" w:color="auto" w:fill="244061" w:themeFill="accent1" w:themeFillShade="80"/>
      <w:lang w:bidi="en-US"/>
    </w:rPr>
  </w:style>
  <w:style w:type="character" w:customStyle="1" w:styleId="Heading2Char">
    <w:name w:val="Heading 2 Char"/>
    <w:basedOn w:val="DefaultParagraphFont"/>
    <w:link w:val="Heading2"/>
    <w:uiPriority w:val="9"/>
    <w:rsid w:val="009628CE"/>
    <w:rPr>
      <w:rFonts w:asciiTheme="majorHAnsi" w:eastAsiaTheme="majorEastAsia" w:hAnsiTheme="majorHAnsi"/>
      <w:b/>
      <w:bCs/>
      <w:iCs/>
      <w:color w:val="244061" w:themeColor="accent1" w:themeShade="80"/>
      <w:sz w:val="28"/>
      <w:szCs w:val="28"/>
      <w:lang w:bidi="en-US"/>
    </w:rPr>
  </w:style>
  <w:style w:type="character" w:customStyle="1" w:styleId="Heading3Char">
    <w:name w:val="Heading 3 Char"/>
    <w:basedOn w:val="DefaultParagraphFont"/>
    <w:link w:val="Heading3"/>
    <w:uiPriority w:val="9"/>
    <w:rsid w:val="009628CE"/>
    <w:rPr>
      <w:rFonts w:asciiTheme="majorHAnsi" w:eastAsiaTheme="majorEastAsia" w:hAnsiTheme="majorHAnsi"/>
      <w:b/>
      <w:bCs/>
      <w:color w:val="365F91" w:themeColor="accent1" w:themeShade="BF"/>
      <w:szCs w:val="26"/>
      <w:lang w:bidi="en-US"/>
    </w:rPr>
  </w:style>
  <w:style w:type="character" w:customStyle="1" w:styleId="Heading4Char">
    <w:name w:val="Heading 4 Char"/>
    <w:basedOn w:val="DefaultParagraphFont"/>
    <w:link w:val="Heading4"/>
    <w:uiPriority w:val="9"/>
    <w:rsid w:val="009628CE"/>
    <w:rPr>
      <w:rFonts w:asciiTheme="majorHAnsi" w:eastAsiaTheme="majorEastAsia" w:hAnsiTheme="majorHAnsi" w:cstheme="majorBidi"/>
      <w:b/>
      <w:bCs/>
      <w:iCs/>
      <w:color w:val="365F91" w:themeColor="accent1" w:themeShade="BF"/>
      <w:szCs w:val="24"/>
      <w:lang w:bidi="en-US"/>
    </w:rPr>
  </w:style>
  <w:style w:type="character" w:customStyle="1" w:styleId="Heading5Char">
    <w:name w:val="Heading 5 Char"/>
    <w:basedOn w:val="DefaultParagraphFont"/>
    <w:link w:val="Heading5"/>
    <w:uiPriority w:val="9"/>
    <w:rsid w:val="009628CE"/>
    <w:rPr>
      <w:rFonts w:asciiTheme="majorHAnsi" w:eastAsiaTheme="majorEastAsia" w:hAnsiTheme="majorHAnsi" w:cstheme="majorBidi"/>
      <w:color w:val="243F60" w:themeColor="accent1" w:themeShade="7F"/>
      <w:szCs w:val="24"/>
      <w:lang w:bidi="en-US"/>
    </w:rPr>
  </w:style>
  <w:style w:type="character" w:customStyle="1" w:styleId="Heading6Char">
    <w:name w:val="Heading 6 Char"/>
    <w:basedOn w:val="DefaultParagraphFont"/>
    <w:link w:val="Heading6"/>
    <w:uiPriority w:val="9"/>
    <w:rsid w:val="009628CE"/>
    <w:rPr>
      <w:rFonts w:asciiTheme="majorHAnsi" w:eastAsiaTheme="majorEastAsia" w:hAnsiTheme="majorHAnsi" w:cstheme="majorBidi"/>
      <w:i/>
      <w:iCs/>
      <w:color w:val="243F60" w:themeColor="accent1" w:themeShade="7F"/>
      <w:szCs w:val="24"/>
      <w:lang w:bidi="en-US"/>
    </w:rPr>
  </w:style>
  <w:style w:type="character" w:customStyle="1" w:styleId="Heading7Char">
    <w:name w:val="Heading 7 Char"/>
    <w:basedOn w:val="DefaultParagraphFont"/>
    <w:link w:val="Heading7"/>
    <w:uiPriority w:val="9"/>
    <w:rsid w:val="009628CE"/>
    <w:rPr>
      <w:rFonts w:asciiTheme="majorHAnsi" w:eastAsiaTheme="majorEastAsia" w:hAnsiTheme="majorHAnsi" w:cstheme="majorBidi"/>
      <w:i/>
      <w:iCs/>
      <w:color w:val="404040" w:themeColor="text1" w:themeTint="BF"/>
      <w:szCs w:val="24"/>
      <w:lang w:bidi="en-US"/>
    </w:rPr>
  </w:style>
  <w:style w:type="character" w:customStyle="1" w:styleId="Heading8Char">
    <w:name w:val="Heading 8 Char"/>
    <w:basedOn w:val="DefaultParagraphFont"/>
    <w:link w:val="Heading8"/>
    <w:uiPriority w:val="9"/>
    <w:rsid w:val="009628CE"/>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rsid w:val="009628CE"/>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9628CE"/>
    <w:rPr>
      <w:color w:val="0000FF" w:themeColor="hyperlink"/>
      <w:u w:val="single"/>
    </w:rPr>
  </w:style>
  <w:style w:type="paragraph" w:styleId="Caption">
    <w:name w:val="caption"/>
    <w:basedOn w:val="Normal"/>
    <w:next w:val="Normal"/>
    <w:qFormat/>
    <w:rsid w:val="009628CE"/>
    <w:pPr>
      <w:spacing w:after="240" w:line="240" w:lineRule="auto"/>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9628CE"/>
    <w:pPr>
      <w:spacing w:before="0" w:line="240" w:lineRule="auto"/>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9628CE"/>
    <w:rPr>
      <w:rFonts w:eastAsia="Times New Roman"/>
      <w:sz w:val="20"/>
      <w:szCs w:val="20"/>
      <w:lang w:val="sr-Cyrl-CS" w:eastAsia="sr-Latn-CS"/>
    </w:rPr>
  </w:style>
  <w:style w:type="character" w:styleId="FootnoteReference">
    <w:name w:val="footnote reference"/>
    <w:basedOn w:val="DefaultParagraphFont"/>
    <w:uiPriority w:val="99"/>
    <w:rsid w:val="009628CE"/>
    <w:rPr>
      <w:vertAlign w:val="superscript"/>
    </w:rPr>
  </w:style>
  <w:style w:type="table" w:customStyle="1" w:styleId="MediumShading1-Accent14">
    <w:name w:val="Medium Shading 1 - Accent 14"/>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9628C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28CE"/>
    <w:rPr>
      <w:rFonts w:ascii="Tahoma" w:hAnsi="Tahoma" w:cs="Tahoma"/>
      <w:sz w:val="16"/>
      <w:szCs w:val="16"/>
      <w:lang w:bidi="en-US"/>
    </w:rPr>
  </w:style>
  <w:style w:type="paragraph" w:styleId="Title">
    <w:name w:val="Title"/>
    <w:basedOn w:val="Normal"/>
    <w:next w:val="Normal"/>
    <w:link w:val="TitleChar"/>
    <w:uiPriority w:val="10"/>
    <w:qFormat/>
    <w:rsid w:val="009628CE"/>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9628CE"/>
    <w:rPr>
      <w:rFonts w:asciiTheme="majorHAnsi" w:eastAsiaTheme="majorEastAsia" w:hAnsiTheme="majorHAnsi"/>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9628CE"/>
    <w:pPr>
      <w:ind w:firstLine="0"/>
    </w:pPr>
    <w:rPr>
      <w:szCs w:val="32"/>
    </w:rPr>
  </w:style>
  <w:style w:type="character" w:customStyle="1" w:styleId="NoSpacingChar">
    <w:name w:val="No Spacing Char"/>
    <w:basedOn w:val="DefaultParagraphFont"/>
    <w:link w:val="NoSpacing"/>
    <w:uiPriority w:val="1"/>
    <w:rsid w:val="009628CE"/>
    <w:rPr>
      <w:rFonts w:ascii="Cambria" w:hAnsi="Cambria"/>
      <w:szCs w:val="32"/>
      <w:lang w:bidi="en-US"/>
    </w:rPr>
  </w:style>
  <w:style w:type="paragraph" w:styleId="ListParagraph">
    <w:name w:val="List Paragraph"/>
    <w:basedOn w:val="Normal"/>
    <w:uiPriority w:val="34"/>
    <w:qFormat/>
    <w:rsid w:val="009628CE"/>
    <w:pPr>
      <w:ind w:left="720"/>
      <w:contextualSpacing/>
    </w:pPr>
  </w:style>
  <w:style w:type="paragraph" w:styleId="TOCHeading">
    <w:name w:val="TOC Heading"/>
    <w:basedOn w:val="Heading1"/>
    <w:next w:val="Normal"/>
    <w:uiPriority w:val="39"/>
    <w:unhideWhenUsed/>
    <w:qFormat/>
    <w:rsid w:val="009628CE"/>
    <w:pPr>
      <w:outlineLvl w:val="9"/>
    </w:pPr>
  </w:style>
  <w:style w:type="paragraph" w:customStyle="1" w:styleId="Table">
    <w:name w:val="Table"/>
    <w:basedOn w:val="Normal"/>
    <w:link w:val="TableChar"/>
    <w:qFormat/>
    <w:rsid w:val="009628CE"/>
    <w:pPr>
      <w:spacing w:before="0" w:after="0" w:line="240" w:lineRule="auto"/>
      <w:ind w:firstLine="0"/>
    </w:pPr>
    <w:rPr>
      <w:sz w:val="20"/>
      <w:szCs w:val="20"/>
    </w:rPr>
  </w:style>
  <w:style w:type="character" w:customStyle="1" w:styleId="TableChar">
    <w:name w:val="Table Char"/>
    <w:basedOn w:val="DefaultParagraphFont"/>
    <w:link w:val="Table"/>
    <w:rsid w:val="009628CE"/>
    <w:rPr>
      <w:rFonts w:ascii="Cambria" w:hAnsi="Cambria"/>
      <w:sz w:val="20"/>
      <w:szCs w:val="20"/>
      <w:lang w:bidi="en-US"/>
    </w:rPr>
  </w:style>
  <w:style w:type="paragraph" w:customStyle="1" w:styleId="TableMain">
    <w:name w:val="Table Main"/>
    <w:basedOn w:val="Table"/>
    <w:link w:val="TableMainChar"/>
    <w:qFormat/>
    <w:rsid w:val="009628CE"/>
    <w:pPr>
      <w:spacing w:before="120"/>
      <w:jc w:val="center"/>
    </w:pPr>
    <w:rPr>
      <w:rFonts w:eastAsiaTheme="majorEastAsia" w:cstheme="majorBidi"/>
      <w:bCs/>
    </w:rPr>
  </w:style>
  <w:style w:type="character" w:customStyle="1" w:styleId="TableMainChar">
    <w:name w:val="Table Main Char"/>
    <w:basedOn w:val="TableChar"/>
    <w:link w:val="TableMain"/>
    <w:rsid w:val="009628CE"/>
    <w:rPr>
      <w:rFonts w:ascii="Cambria" w:eastAsiaTheme="majorEastAsia" w:hAnsi="Cambria" w:cstheme="majorBidi"/>
      <w:bCs/>
      <w:sz w:val="20"/>
      <w:szCs w:val="20"/>
      <w:lang w:bidi="en-US"/>
    </w:rPr>
  </w:style>
  <w:style w:type="paragraph" w:styleId="TOC1">
    <w:name w:val="toc 1"/>
    <w:basedOn w:val="Normal"/>
    <w:next w:val="Normal"/>
    <w:autoRedefine/>
    <w:uiPriority w:val="39"/>
    <w:unhideWhenUsed/>
    <w:rsid w:val="007D2D6B"/>
    <w:pPr>
      <w:tabs>
        <w:tab w:val="left" w:pos="567"/>
        <w:tab w:val="right" w:leader="dot" w:pos="9061"/>
      </w:tabs>
      <w:spacing w:after="0" w:line="240" w:lineRule="auto"/>
      <w:ind w:left="567" w:hanging="567"/>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7D2D6B"/>
    <w:pPr>
      <w:tabs>
        <w:tab w:val="left" w:pos="851"/>
        <w:tab w:val="right" w:leader="dot" w:pos="9061"/>
      </w:tabs>
      <w:spacing w:before="0" w:after="0" w:line="240" w:lineRule="auto"/>
      <w:ind w:left="851" w:hanging="284"/>
      <w:jc w:val="left"/>
    </w:pPr>
    <w:rPr>
      <w:rFonts w:cstheme="minorHAnsi"/>
      <w:noProof/>
      <w:szCs w:val="20"/>
      <w:lang w:val="sr-Cyrl-BA"/>
    </w:rPr>
  </w:style>
  <w:style w:type="paragraph" w:styleId="TOC3">
    <w:name w:val="toc 3"/>
    <w:basedOn w:val="Normal"/>
    <w:next w:val="Normal"/>
    <w:autoRedefine/>
    <w:uiPriority w:val="39"/>
    <w:unhideWhenUsed/>
    <w:rsid w:val="00D033F3"/>
    <w:pPr>
      <w:tabs>
        <w:tab w:val="left" w:pos="1418"/>
        <w:tab w:val="right" w:leader="dot" w:pos="9072"/>
      </w:tabs>
      <w:spacing w:before="0" w:after="0" w:line="240" w:lineRule="auto"/>
      <w:ind w:left="1418" w:hanging="567"/>
      <w:jc w:val="left"/>
    </w:pPr>
    <w:rPr>
      <w:iCs/>
      <w:noProof/>
      <w:szCs w:val="20"/>
      <w:lang w:val="sr-Cyrl-BA"/>
    </w:rPr>
  </w:style>
  <w:style w:type="paragraph" w:styleId="TOC4">
    <w:name w:val="toc 4"/>
    <w:basedOn w:val="Normal"/>
    <w:next w:val="Normal"/>
    <w:autoRedefine/>
    <w:uiPriority w:val="39"/>
    <w:unhideWhenUsed/>
    <w:rsid w:val="009628CE"/>
    <w:pPr>
      <w:spacing w:before="0" w:after="0"/>
      <w:ind w:left="658" w:firstLine="0"/>
      <w:jc w:val="left"/>
    </w:pPr>
    <w:rPr>
      <w:sz w:val="18"/>
      <w:szCs w:val="18"/>
    </w:rPr>
  </w:style>
  <w:style w:type="paragraph" w:styleId="TOC5">
    <w:name w:val="toc 5"/>
    <w:basedOn w:val="Normal"/>
    <w:next w:val="Normal"/>
    <w:autoRedefine/>
    <w:uiPriority w:val="39"/>
    <w:unhideWhenUsed/>
    <w:rsid w:val="009628CE"/>
    <w:pPr>
      <w:spacing w:before="0" w:after="0"/>
      <w:ind w:left="880"/>
      <w:jc w:val="left"/>
    </w:pPr>
    <w:rPr>
      <w:sz w:val="18"/>
      <w:szCs w:val="18"/>
    </w:rPr>
  </w:style>
  <w:style w:type="paragraph" w:styleId="TOC6">
    <w:name w:val="toc 6"/>
    <w:basedOn w:val="Normal"/>
    <w:next w:val="Normal"/>
    <w:autoRedefine/>
    <w:uiPriority w:val="39"/>
    <w:unhideWhenUsed/>
    <w:rsid w:val="009628CE"/>
    <w:pPr>
      <w:spacing w:before="0" w:after="0"/>
      <w:ind w:left="1100"/>
      <w:jc w:val="left"/>
    </w:pPr>
    <w:rPr>
      <w:sz w:val="18"/>
      <w:szCs w:val="18"/>
    </w:rPr>
  </w:style>
  <w:style w:type="paragraph" w:styleId="TOC7">
    <w:name w:val="toc 7"/>
    <w:basedOn w:val="Normal"/>
    <w:next w:val="Normal"/>
    <w:autoRedefine/>
    <w:uiPriority w:val="39"/>
    <w:unhideWhenUsed/>
    <w:rsid w:val="009628CE"/>
    <w:pPr>
      <w:spacing w:before="0" w:after="0"/>
      <w:ind w:left="1320"/>
      <w:jc w:val="left"/>
    </w:pPr>
    <w:rPr>
      <w:sz w:val="18"/>
      <w:szCs w:val="18"/>
    </w:rPr>
  </w:style>
  <w:style w:type="paragraph" w:styleId="TOC8">
    <w:name w:val="toc 8"/>
    <w:basedOn w:val="Normal"/>
    <w:next w:val="Normal"/>
    <w:autoRedefine/>
    <w:uiPriority w:val="39"/>
    <w:unhideWhenUsed/>
    <w:rsid w:val="009628CE"/>
    <w:pPr>
      <w:spacing w:before="0" w:after="0"/>
      <w:ind w:left="1540"/>
      <w:jc w:val="left"/>
    </w:pPr>
    <w:rPr>
      <w:sz w:val="18"/>
      <w:szCs w:val="18"/>
    </w:rPr>
  </w:style>
  <w:style w:type="paragraph" w:styleId="TOC9">
    <w:name w:val="toc 9"/>
    <w:basedOn w:val="Normal"/>
    <w:next w:val="Normal"/>
    <w:autoRedefine/>
    <w:uiPriority w:val="39"/>
    <w:unhideWhenUsed/>
    <w:rsid w:val="009628CE"/>
    <w:pPr>
      <w:spacing w:before="0" w:after="0"/>
      <w:ind w:left="1760"/>
      <w:jc w:val="left"/>
    </w:pPr>
    <w:rPr>
      <w:sz w:val="18"/>
      <w:szCs w:val="18"/>
    </w:rPr>
  </w:style>
  <w:style w:type="paragraph" w:styleId="DocumentMap">
    <w:name w:val="Document Map"/>
    <w:basedOn w:val="Normal"/>
    <w:link w:val="DocumentMapChar"/>
    <w:uiPriority w:val="99"/>
    <w:semiHidden/>
    <w:unhideWhenUsed/>
    <w:rsid w:val="009628CE"/>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628CE"/>
    <w:rPr>
      <w:rFonts w:ascii="Tahoma" w:hAnsi="Tahoma" w:cs="Tahoma"/>
      <w:sz w:val="16"/>
      <w:szCs w:val="16"/>
      <w:lang w:bidi="en-US"/>
    </w:rPr>
  </w:style>
  <w:style w:type="paragraph" w:styleId="BodyText2">
    <w:name w:val="Body Text 2"/>
    <w:basedOn w:val="Normal"/>
    <w:link w:val="BodyText2Char"/>
    <w:rsid w:val="009628CE"/>
    <w:pPr>
      <w:spacing w:before="0" w:line="240" w:lineRule="auto"/>
    </w:pPr>
    <w:rPr>
      <w:rFonts w:ascii="CTimesRoman" w:eastAsia="Times New Roman" w:hAnsi="CTimesRoman"/>
      <w:szCs w:val="20"/>
    </w:rPr>
  </w:style>
  <w:style w:type="character" w:customStyle="1" w:styleId="BodyText2Char">
    <w:name w:val="Body Text 2 Char"/>
    <w:basedOn w:val="DefaultParagraphFont"/>
    <w:link w:val="BodyText2"/>
    <w:rsid w:val="009628CE"/>
    <w:rPr>
      <w:rFonts w:ascii="CTimesRoman" w:eastAsia="Times New Roman" w:hAnsi="CTimesRoman"/>
      <w:szCs w:val="20"/>
    </w:rPr>
  </w:style>
  <w:style w:type="paragraph" w:styleId="BodyText">
    <w:name w:val="Body Text"/>
    <w:basedOn w:val="Normal"/>
    <w:link w:val="BodyTextChar"/>
    <w:rsid w:val="009628CE"/>
    <w:pPr>
      <w:spacing w:before="0" w:line="240" w:lineRule="auto"/>
      <w:jc w:val="left"/>
    </w:pPr>
    <w:rPr>
      <w:rFonts w:eastAsia="Times New Roman"/>
      <w:lang w:val="sr-Cyrl-CS" w:eastAsia="sr-Latn-CS"/>
    </w:rPr>
  </w:style>
  <w:style w:type="character" w:customStyle="1" w:styleId="BodyTextChar">
    <w:name w:val="Body Text Char"/>
    <w:basedOn w:val="DefaultParagraphFont"/>
    <w:link w:val="BodyText"/>
    <w:rsid w:val="009628CE"/>
    <w:rPr>
      <w:rFonts w:eastAsia="Times New Roman"/>
      <w:szCs w:val="24"/>
      <w:lang w:val="sr-Cyrl-CS" w:eastAsia="sr-Latn-CS"/>
    </w:rPr>
  </w:style>
  <w:style w:type="paragraph" w:styleId="BodyTextIndent2">
    <w:name w:val="Body Text Indent 2"/>
    <w:basedOn w:val="Normal"/>
    <w:link w:val="BodyTextIndent2Char"/>
    <w:rsid w:val="009628CE"/>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rsid w:val="009628CE"/>
    <w:rPr>
      <w:rFonts w:eastAsia="Times New Roman"/>
      <w:szCs w:val="24"/>
      <w:lang w:val="sr-Cyrl-CS" w:eastAsia="sr-Latn-CS"/>
    </w:rPr>
  </w:style>
  <w:style w:type="table" w:styleId="MediumGrid3-Accent1">
    <w:name w:val="Medium Grid 3 Accent 1"/>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9628CE"/>
    <w:pPr>
      <w:spacing w:before="0"/>
      <w:ind w:firstLine="0"/>
    </w:pPr>
    <w:rPr>
      <w:rFonts w:ascii="Cambria" w:hAnsi="Cambria" w:cstheme="minorBidi"/>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9628CE"/>
    <w:pPr>
      <w:spacing w:before="0" w:after="0" w:line="240" w:lineRule="auto"/>
      <w:ind w:firstLine="0"/>
    </w:pPr>
    <w:rPr>
      <w:sz w:val="16"/>
      <w:lang w:val="sr-Cyrl-BA"/>
    </w:rPr>
  </w:style>
  <w:style w:type="character" w:customStyle="1" w:styleId="FootnoteChar">
    <w:name w:val="Footnote Char"/>
    <w:basedOn w:val="DefaultParagraphFont"/>
    <w:link w:val="Footnote"/>
    <w:rsid w:val="009628CE"/>
    <w:rPr>
      <w:rFonts w:ascii="Cambria" w:hAnsi="Cambria" w:cstheme="minorBidi"/>
      <w:sz w:val="16"/>
      <w:szCs w:val="24"/>
      <w:lang w:val="sr-Cyrl-BA" w:bidi="en-US"/>
    </w:rPr>
  </w:style>
  <w:style w:type="paragraph" w:styleId="Header">
    <w:name w:val="header"/>
    <w:basedOn w:val="Normal"/>
    <w:link w:val="HeaderChar"/>
    <w:uiPriority w:val="99"/>
    <w:unhideWhenUsed/>
    <w:rsid w:val="009628CE"/>
    <w:pPr>
      <w:tabs>
        <w:tab w:val="center" w:pos="4535"/>
        <w:tab w:val="right" w:pos="9071"/>
      </w:tabs>
      <w:spacing w:before="0" w:line="240" w:lineRule="auto"/>
    </w:pPr>
  </w:style>
  <w:style w:type="character" w:customStyle="1" w:styleId="HeaderChar">
    <w:name w:val="Header Char"/>
    <w:basedOn w:val="DefaultParagraphFont"/>
    <w:link w:val="Header"/>
    <w:uiPriority w:val="99"/>
    <w:rsid w:val="009628CE"/>
    <w:rPr>
      <w:rFonts w:ascii="Cambria" w:hAnsi="Cambria" w:cstheme="minorBidi"/>
      <w:szCs w:val="24"/>
      <w:lang w:bidi="en-US"/>
    </w:rPr>
  </w:style>
  <w:style w:type="paragraph" w:styleId="Footer">
    <w:name w:val="footer"/>
    <w:basedOn w:val="Normal"/>
    <w:link w:val="FooterChar"/>
    <w:uiPriority w:val="99"/>
    <w:unhideWhenUsed/>
    <w:rsid w:val="009628CE"/>
    <w:pPr>
      <w:tabs>
        <w:tab w:val="center" w:pos="4535"/>
        <w:tab w:val="right" w:pos="9071"/>
      </w:tabs>
      <w:spacing w:before="0" w:line="240" w:lineRule="auto"/>
    </w:pPr>
  </w:style>
  <w:style w:type="character" w:customStyle="1" w:styleId="FooterChar">
    <w:name w:val="Footer Char"/>
    <w:basedOn w:val="DefaultParagraphFont"/>
    <w:link w:val="Footer"/>
    <w:uiPriority w:val="99"/>
    <w:rsid w:val="009628CE"/>
    <w:rPr>
      <w:rFonts w:ascii="Cambria" w:hAnsi="Cambria" w:cstheme="minorBidi"/>
      <w:szCs w:val="24"/>
      <w:lang w:bidi="en-US"/>
    </w:rPr>
  </w:style>
  <w:style w:type="paragraph" w:styleId="BodyTextIndent">
    <w:name w:val="Body Text Indent"/>
    <w:basedOn w:val="Normal"/>
    <w:link w:val="BodyTextIndentChar"/>
    <w:uiPriority w:val="99"/>
    <w:rsid w:val="009628CE"/>
    <w:pPr>
      <w:spacing w:before="0" w:line="240" w:lineRule="auto"/>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9628CE"/>
    <w:rPr>
      <w:rFonts w:eastAsia="Times New Roman"/>
      <w:szCs w:val="24"/>
    </w:rPr>
  </w:style>
  <w:style w:type="character" w:customStyle="1" w:styleId="BodyTextIndent3Char">
    <w:name w:val="Body Text Indent 3 Char"/>
    <w:basedOn w:val="DefaultParagraphFont"/>
    <w:link w:val="BodyTextIndent3"/>
    <w:uiPriority w:val="99"/>
    <w:semiHidden/>
    <w:rsid w:val="009628CE"/>
    <w:rPr>
      <w:sz w:val="16"/>
      <w:szCs w:val="16"/>
      <w:lang w:bidi="en-US"/>
    </w:rPr>
  </w:style>
  <w:style w:type="paragraph" w:styleId="BodyTextIndent3">
    <w:name w:val="Body Text Indent 3"/>
    <w:basedOn w:val="Normal"/>
    <w:link w:val="BodyTextIndent3Char"/>
    <w:uiPriority w:val="99"/>
    <w:semiHidden/>
    <w:unhideWhenUsed/>
    <w:rsid w:val="009628CE"/>
    <w:pPr>
      <w:ind w:left="283"/>
    </w:pPr>
    <w:rPr>
      <w:sz w:val="16"/>
      <w:szCs w:val="16"/>
    </w:rPr>
  </w:style>
  <w:style w:type="character" w:customStyle="1" w:styleId="BodyTextIndent3Char1">
    <w:name w:val="Body Text Indent 3 Char1"/>
    <w:basedOn w:val="DefaultParagraphFont"/>
    <w:uiPriority w:val="99"/>
    <w:semiHidden/>
    <w:rsid w:val="009628CE"/>
    <w:rPr>
      <w:rFonts w:ascii="Cambria" w:hAnsi="Cambria" w:cstheme="minorBidi"/>
      <w:sz w:val="16"/>
      <w:szCs w:val="16"/>
      <w:lang w:bidi="en-US"/>
    </w:rPr>
  </w:style>
  <w:style w:type="paragraph" w:styleId="PlainText">
    <w:name w:val="Plain Text"/>
    <w:basedOn w:val="Normal"/>
    <w:link w:val="PlainTextChar"/>
    <w:rsid w:val="009628CE"/>
    <w:pPr>
      <w:spacing w:before="0" w:line="240" w:lineRule="auto"/>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rsid w:val="009628CE"/>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9628CE"/>
    <w:pPr>
      <w:spacing w:before="0"/>
      <w:ind w:firstLine="0"/>
    </w:pPr>
    <w:rPr>
      <w:rFonts w:ascii="Cambria" w:hAnsi="Cambria" w:cstheme="minorBidi"/>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rsid w:val="009628CE"/>
    <w:pPr>
      <w:widowControl w:val="0"/>
      <w:tabs>
        <w:tab w:val="left" w:pos="2153"/>
      </w:tabs>
      <w:autoSpaceDE w:val="0"/>
      <w:autoSpaceDN w:val="0"/>
      <w:adjustRightInd w:val="0"/>
      <w:spacing w:before="0" w:after="43" w:line="240" w:lineRule="auto"/>
      <w:ind w:firstLine="342"/>
    </w:pPr>
    <w:rPr>
      <w:rFonts w:ascii="Times-NewRoman" w:eastAsia="MS Mincho" w:hAnsi="Times-NewRoman"/>
      <w:sz w:val="19"/>
      <w:szCs w:val="19"/>
      <w:lang w:val="sr-Cyrl-CS"/>
    </w:rPr>
  </w:style>
  <w:style w:type="paragraph" w:customStyle="1" w:styleId="Default">
    <w:name w:val="Default"/>
    <w:rsid w:val="009628CE"/>
    <w:pPr>
      <w:autoSpaceDE w:val="0"/>
      <w:autoSpaceDN w:val="0"/>
      <w:adjustRightInd w:val="0"/>
      <w:spacing w:before="0"/>
      <w:ind w:firstLine="0"/>
    </w:pPr>
    <w:rPr>
      <w:color w:val="000000"/>
      <w:lang w:val="sr-Latn-CS"/>
    </w:rPr>
  </w:style>
  <w:style w:type="character" w:customStyle="1" w:styleId="CommentTextChar">
    <w:name w:val="Comment Text Char"/>
    <w:basedOn w:val="DefaultParagraphFont"/>
    <w:link w:val="CommentText"/>
    <w:uiPriority w:val="99"/>
    <w:rsid w:val="009628CE"/>
    <w:rPr>
      <w:sz w:val="20"/>
      <w:szCs w:val="20"/>
      <w:lang w:bidi="en-US"/>
    </w:rPr>
  </w:style>
  <w:style w:type="paragraph" w:styleId="CommentText">
    <w:name w:val="annotation text"/>
    <w:basedOn w:val="Normal"/>
    <w:link w:val="CommentTextChar"/>
    <w:uiPriority w:val="99"/>
    <w:unhideWhenUsed/>
    <w:rsid w:val="009628CE"/>
    <w:pPr>
      <w:spacing w:line="240" w:lineRule="auto"/>
    </w:pPr>
    <w:rPr>
      <w:sz w:val="20"/>
      <w:szCs w:val="20"/>
    </w:rPr>
  </w:style>
  <w:style w:type="character" w:customStyle="1" w:styleId="CommentTextChar1">
    <w:name w:val="Comment Text Char1"/>
    <w:basedOn w:val="DefaultParagraphFont"/>
    <w:uiPriority w:val="99"/>
    <w:semiHidden/>
    <w:rsid w:val="009628CE"/>
    <w:rPr>
      <w:rFonts w:ascii="Cambria" w:hAnsi="Cambria" w:cstheme="minorBidi"/>
      <w:sz w:val="20"/>
      <w:szCs w:val="20"/>
      <w:lang w:bidi="en-US"/>
    </w:rPr>
  </w:style>
  <w:style w:type="character" w:customStyle="1" w:styleId="CommentSubjectChar">
    <w:name w:val="Comment Subject Char"/>
    <w:basedOn w:val="CommentTextChar"/>
    <w:link w:val="CommentSubject"/>
    <w:uiPriority w:val="99"/>
    <w:semiHidden/>
    <w:rsid w:val="009628CE"/>
    <w:rPr>
      <w:b/>
      <w:bCs/>
      <w:sz w:val="20"/>
      <w:szCs w:val="20"/>
      <w:lang w:bidi="en-US"/>
    </w:rPr>
  </w:style>
  <w:style w:type="paragraph" w:styleId="CommentSubject">
    <w:name w:val="annotation subject"/>
    <w:basedOn w:val="CommentText"/>
    <w:next w:val="CommentText"/>
    <w:link w:val="CommentSubjectChar"/>
    <w:uiPriority w:val="99"/>
    <w:semiHidden/>
    <w:unhideWhenUsed/>
    <w:rsid w:val="009628CE"/>
    <w:rPr>
      <w:b/>
      <w:bCs/>
    </w:rPr>
  </w:style>
  <w:style w:type="character" w:customStyle="1" w:styleId="CommentSubjectChar1">
    <w:name w:val="Comment Subject Char1"/>
    <w:basedOn w:val="CommentTextChar1"/>
    <w:uiPriority w:val="99"/>
    <w:semiHidden/>
    <w:rsid w:val="009628CE"/>
    <w:rPr>
      <w:rFonts w:ascii="Cambria" w:hAnsi="Cambria" w:cstheme="minorBidi"/>
      <w:b/>
      <w:bCs/>
      <w:sz w:val="20"/>
      <w:szCs w:val="20"/>
      <w:lang w:bidi="en-US"/>
    </w:rPr>
  </w:style>
  <w:style w:type="table" w:customStyle="1" w:styleId="LightShading1">
    <w:name w:val="Light Shading1"/>
    <w:basedOn w:val="TableNormal"/>
    <w:uiPriority w:val="60"/>
    <w:rsid w:val="009628CE"/>
    <w:pPr>
      <w:spacing w:before="0"/>
      <w:ind w:firstLine="0"/>
    </w:pPr>
    <w:rPr>
      <w:rFonts w:ascii="Cambria" w:hAnsi="Cambria" w:cstheme="minorBidi"/>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9628CE"/>
    <w:pPr>
      <w:spacing w:before="0"/>
      <w:ind w:firstLine="0"/>
    </w:pPr>
    <w:rPr>
      <w:rFonts w:ascii="Cambria" w:hAnsi="Cambria" w:cstheme="minorBidi"/>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9628CE"/>
    <w:rPr>
      <w:rFonts w:ascii="CTimesRoman" w:eastAsia="Times New Roman" w:hAnsi="CTimesRoman"/>
      <w:sz w:val="20"/>
      <w:szCs w:val="20"/>
    </w:rPr>
  </w:style>
  <w:style w:type="paragraph" w:styleId="EndnoteText">
    <w:name w:val="endnote text"/>
    <w:basedOn w:val="Normal"/>
    <w:link w:val="EndnoteTextChar"/>
    <w:uiPriority w:val="99"/>
    <w:semiHidden/>
    <w:unhideWhenUsed/>
    <w:rsid w:val="009628CE"/>
    <w:pPr>
      <w:spacing w:after="0" w:line="240" w:lineRule="auto"/>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9628CE"/>
    <w:rPr>
      <w:rFonts w:ascii="Cambria" w:hAnsi="Cambria" w:cstheme="minorBidi"/>
      <w:sz w:val="20"/>
      <w:szCs w:val="20"/>
      <w:lang w:bidi="en-US"/>
    </w:rPr>
  </w:style>
  <w:style w:type="paragraph" w:customStyle="1" w:styleId="style1">
    <w:name w:val="style1"/>
    <w:basedOn w:val="Normal"/>
    <w:uiPriority w:val="99"/>
    <w:rsid w:val="009628CE"/>
    <w:pPr>
      <w:spacing w:before="100" w:beforeAutospacing="1" w:after="100" w:afterAutospacing="1" w:line="240" w:lineRule="auto"/>
      <w:ind w:firstLine="0"/>
      <w:jc w:val="left"/>
    </w:pPr>
    <w:rPr>
      <w:rFonts w:eastAsia="Times New Roman"/>
      <w:lang w:val="sr-Latn-CS" w:eastAsia="sr-Latn-CS"/>
    </w:rPr>
  </w:style>
  <w:style w:type="character" w:customStyle="1" w:styleId="pch">
    <w:name w:val="pch"/>
    <w:basedOn w:val="DefaultParagraphFont"/>
    <w:rsid w:val="009628CE"/>
  </w:style>
  <w:style w:type="table" w:customStyle="1" w:styleId="LightList-Accent12">
    <w:name w:val="Light List - Accent 12"/>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9628CE"/>
    <w:pPr>
      <w:spacing w:before="100" w:beforeAutospacing="1" w:after="100" w:afterAutospacing="1" w:line="240" w:lineRule="auto"/>
      <w:ind w:firstLine="0"/>
      <w:jc w:val="left"/>
    </w:pPr>
    <w:rPr>
      <w:rFonts w:eastAsia="Times New Roman"/>
      <w:lang w:val="sr-Latn-CS" w:eastAsia="sr-Latn-CS"/>
    </w:rPr>
  </w:style>
  <w:style w:type="table" w:customStyle="1" w:styleId="LightGrid-Accent11">
    <w:name w:val="Light Grid - Accent 11"/>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9628CE"/>
  </w:style>
  <w:style w:type="character" w:customStyle="1" w:styleId="podnaslov">
    <w:name w:val="podnaslov"/>
    <w:basedOn w:val="DefaultParagraphFont"/>
    <w:rsid w:val="009628CE"/>
  </w:style>
  <w:style w:type="character" w:customStyle="1" w:styleId="headgrau">
    <w:name w:val="headgrau"/>
    <w:basedOn w:val="DefaultParagraphFont"/>
    <w:rsid w:val="009628CE"/>
  </w:style>
  <w:style w:type="character" w:customStyle="1" w:styleId="headgrau2">
    <w:name w:val="headgrau2"/>
    <w:basedOn w:val="DefaultParagraphFont"/>
    <w:rsid w:val="009628CE"/>
  </w:style>
  <w:style w:type="character" w:customStyle="1" w:styleId="txtbold">
    <w:name w:val="txtbold"/>
    <w:basedOn w:val="DefaultParagraphFont"/>
    <w:rsid w:val="009628CE"/>
  </w:style>
  <w:style w:type="character" w:customStyle="1" w:styleId="txtpetit">
    <w:name w:val="txtpetit"/>
    <w:basedOn w:val="DefaultParagraphFont"/>
    <w:rsid w:val="009628CE"/>
  </w:style>
  <w:style w:type="table" w:customStyle="1" w:styleId="LightList-Accent14">
    <w:name w:val="Light List - Accent 14"/>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9628CE"/>
  </w:style>
  <w:style w:type="table" w:customStyle="1" w:styleId="LightList-Accent13">
    <w:name w:val="Light List - Accent 13"/>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9628CE"/>
    <w:pPr>
      <w:widowControl w:val="0"/>
      <w:autoSpaceDE w:val="0"/>
      <w:autoSpaceDN w:val="0"/>
      <w:adjustRightInd w:val="0"/>
      <w:spacing w:before="0" w:after="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9628CE"/>
    <w:rPr>
      <w:rFonts w:ascii="Calibri" w:hAnsi="Calibri" w:cs="Calibri"/>
      <w:color w:val="000000"/>
      <w:sz w:val="16"/>
      <w:szCs w:val="16"/>
    </w:rPr>
  </w:style>
  <w:style w:type="paragraph" w:customStyle="1" w:styleId="Style54">
    <w:name w:val="Style54"/>
    <w:basedOn w:val="Normal"/>
    <w:uiPriority w:val="99"/>
    <w:rsid w:val="009628CE"/>
    <w:pPr>
      <w:widowControl w:val="0"/>
      <w:autoSpaceDE w:val="0"/>
      <w:autoSpaceDN w:val="0"/>
      <w:adjustRightInd w:val="0"/>
      <w:spacing w:before="0" w:after="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9628CE"/>
    <w:pPr>
      <w:widowControl w:val="0"/>
      <w:autoSpaceDE w:val="0"/>
      <w:autoSpaceDN w:val="0"/>
      <w:adjustRightInd w:val="0"/>
      <w:spacing w:before="0" w:after="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9628CE"/>
    <w:pPr>
      <w:widowControl w:val="0"/>
      <w:autoSpaceDE w:val="0"/>
      <w:autoSpaceDN w:val="0"/>
      <w:adjustRightInd w:val="0"/>
      <w:spacing w:before="0" w:after="0" w:line="240" w:lineRule="auto"/>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9628CE"/>
    <w:rPr>
      <w:b/>
      <w:bCs/>
    </w:rPr>
  </w:style>
  <w:style w:type="character" w:styleId="Emphasis">
    <w:name w:val="Emphasis"/>
    <w:basedOn w:val="DefaultParagraphFont"/>
    <w:uiPriority w:val="20"/>
    <w:qFormat/>
    <w:rsid w:val="009628CE"/>
    <w:rPr>
      <w:i/>
      <w:iCs/>
    </w:rPr>
  </w:style>
  <w:style w:type="table" w:styleId="TableGrid">
    <w:name w:val="Table Grid"/>
    <w:basedOn w:val="TableNormal"/>
    <w:uiPriority w:val="59"/>
    <w:rsid w:val="009628CE"/>
    <w:pPr>
      <w:spacing w:before="0"/>
      <w:ind w:firstLine="0"/>
    </w:pPr>
    <w:rPr>
      <w:rFonts w:asciiTheme="minorHAnsi" w:hAnsiTheme="minorHAnsi" w:cstheme="minorBidi"/>
      <w:sz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9628CE"/>
    <w:pPr>
      <w:spacing w:before="0"/>
      <w:jc w:val="both"/>
    </w:pPr>
    <w:rPr>
      <w:rFonts w:ascii="Cambria" w:hAnsi="Cambria" w:cstheme="minorBidi"/>
      <w:color w:val="365F91" w:themeColor="accent1" w:themeShade="BF"/>
      <w:lang w:val="sr-Latn-B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9628CE"/>
    <w:pPr>
      <w:spacing w:before="0"/>
      <w:jc w:val="both"/>
    </w:pPr>
    <w:rPr>
      <w:rFonts w:ascii="Cambria" w:hAnsi="Cambria" w:cstheme="minorBidi"/>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9628CE"/>
    <w:pPr>
      <w:spacing w:before="0"/>
      <w:jc w:val="both"/>
    </w:pPr>
    <w:rPr>
      <w:rFonts w:ascii="Cambria" w:hAnsi="Cambria" w:cstheme="minorBidi"/>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MediumList1-Accent11">
    <w:name w:val="Medium List 1 - Accent 11"/>
    <w:basedOn w:val="TableNormal"/>
    <w:uiPriority w:val="65"/>
    <w:rsid w:val="009628CE"/>
    <w:pPr>
      <w:spacing w:before="0"/>
      <w:jc w:val="both"/>
    </w:pPr>
    <w:rPr>
      <w:rFonts w:ascii="Cambria" w:hAnsi="Cambria" w:cstheme="minorBidi"/>
      <w:color w:val="000000" w:themeColor="text1"/>
      <w:lang w:val="sr-Latn-BA"/>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9628CE"/>
    <w:pPr>
      <w:spacing w:before="0"/>
      <w:jc w:val="both"/>
    </w:pPr>
    <w:rPr>
      <w:rFonts w:asciiTheme="majorHAnsi" w:eastAsiaTheme="majorEastAsia" w:hAnsiTheme="majorHAnsi" w:cstheme="majorBidi"/>
      <w:color w:val="000000" w:themeColor="text1"/>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9628CE"/>
    <w:rPr>
      <w:sz w:val="16"/>
      <w:szCs w:val="16"/>
    </w:rPr>
  </w:style>
  <w:style w:type="table" w:customStyle="1" w:styleId="LightGrid-Accent13">
    <w:name w:val="Light Grid - Accent 13"/>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4">
    <w:name w:val="Light Grid - Accent 14"/>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converted-space">
    <w:name w:val="apple-converted-space"/>
    <w:basedOn w:val="DefaultParagraphFont"/>
    <w:rsid w:val="009628CE"/>
  </w:style>
  <w:style w:type="table" w:customStyle="1" w:styleId="Style10">
    <w:name w:val="Style1"/>
    <w:basedOn w:val="TableNormal"/>
    <w:uiPriority w:val="99"/>
    <w:rsid w:val="009628CE"/>
    <w:pPr>
      <w:spacing w:before="0"/>
      <w:ind w:firstLine="0"/>
    </w:pPr>
    <w:rPr>
      <w:rFonts w:asciiTheme="minorHAnsi" w:eastAsiaTheme="minorEastAsia" w:hAnsiTheme="minorHAnsi" w:cstheme="minorBidi"/>
      <w:sz w:val="22"/>
      <w:lang w:val="sr-Latn-BA" w:bidi="en-US"/>
    </w:rPr>
    <w:tblPr/>
  </w:style>
  <w:style w:type="table" w:styleId="LightGrid-Accent2">
    <w:name w:val="Light Grid Accent 2"/>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Accent15">
    <w:name w:val="Light Grid - Accent 15"/>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6">
    <w:name w:val="Light Grid - Accent 16"/>
    <w:basedOn w:val="TableNormal"/>
    <w:uiPriority w:val="62"/>
    <w:rsid w:val="009628CE"/>
    <w:pPr>
      <w:spacing w:before="0"/>
      <w:ind w:firstLine="0"/>
    </w:pPr>
    <w:rPr>
      <w:rFonts w:ascii="Cambria" w:eastAsia="Times New Roman" w:hAnsi="Cambria" w:cstheme="minorBidi"/>
      <w:sz w:val="22"/>
      <w:lang w:val="bs-Latn-B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7">
    <w:name w:val="Light Grid - Accent 17"/>
    <w:basedOn w:val="TableNormal"/>
    <w:uiPriority w:val="62"/>
    <w:rsid w:val="009628CE"/>
    <w:pPr>
      <w:spacing w:before="0"/>
      <w:ind w:firstLine="0"/>
    </w:pPr>
    <w:rPr>
      <w:rFonts w:asciiTheme="minorHAnsi" w:hAnsiTheme="minorHAnsi" w:cstheme="minorBidi"/>
      <w:sz w:val="22"/>
      <w:lang w:val="sr-Latn-C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
    <w:name w:val="Font Style22"/>
    <w:basedOn w:val="DefaultParagraphFont"/>
    <w:uiPriority w:val="99"/>
    <w:rsid w:val="009628CE"/>
    <w:rPr>
      <w:rFonts w:ascii="MS Reference Sans Serif" w:hAnsi="MS Reference Sans Serif" w:cs="MS Reference Sans Serif" w:hint="default"/>
      <w:color w:val="000000"/>
      <w:sz w:val="18"/>
      <w:szCs w:val="18"/>
    </w:rPr>
  </w:style>
  <w:style w:type="table" w:customStyle="1" w:styleId="LightGrid-Accent18">
    <w:name w:val="Light Grid - Accent 18"/>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DF43DE"/>
    <w:rPr>
      <w:color w:val="800080" w:themeColor="followedHyperlink"/>
      <w:u w:val="single"/>
    </w:rPr>
  </w:style>
  <w:style w:type="paragraph" w:customStyle="1" w:styleId="bodytext0">
    <w:name w:val="bodytext"/>
    <w:basedOn w:val="Normal"/>
    <w:rsid w:val="0090523D"/>
    <w:pPr>
      <w:spacing w:before="100" w:beforeAutospacing="1" w:after="100" w:afterAutospacing="1" w:line="240" w:lineRule="auto"/>
      <w:ind w:firstLine="0"/>
      <w:jc w:val="left"/>
    </w:pPr>
    <w:rPr>
      <w:rFonts w:eastAsia="Times New Roman"/>
    </w:rPr>
  </w:style>
  <w:style w:type="table" w:customStyle="1" w:styleId="LightGrid-Accent111">
    <w:name w:val="Light Grid - Accent 111"/>
    <w:basedOn w:val="TableNormal"/>
    <w:uiPriority w:val="62"/>
    <w:rsid w:val="004060D8"/>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2">
    <w:name w:val="Light Grid - Accent 112"/>
    <w:basedOn w:val="TableNormal"/>
    <w:uiPriority w:val="62"/>
    <w:rsid w:val="004060D8"/>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3">
    <w:name w:val="Light Grid - Accent 113"/>
    <w:basedOn w:val="TableNormal"/>
    <w:uiPriority w:val="62"/>
    <w:rsid w:val="00E16D3E"/>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1">
    <w:name w:val="Light Grid - Accent 121"/>
    <w:basedOn w:val="TableNormal"/>
    <w:uiPriority w:val="62"/>
    <w:rsid w:val="00AC0E79"/>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2">
    <w:name w:val="Light Grid - Accent 122"/>
    <w:basedOn w:val="TableNormal"/>
    <w:uiPriority w:val="62"/>
    <w:rsid w:val="005E5641"/>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1">
    <w:name w:val="No List1"/>
    <w:next w:val="NoList"/>
    <w:uiPriority w:val="99"/>
    <w:semiHidden/>
    <w:unhideWhenUsed/>
    <w:rsid w:val="008A0055"/>
  </w:style>
  <w:style w:type="table" w:customStyle="1" w:styleId="LightGrid-Accent114">
    <w:name w:val="Light Grid - Accent 114"/>
    <w:basedOn w:val="TableNormal"/>
    <w:uiPriority w:val="62"/>
    <w:rsid w:val="008A0055"/>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3">
    <w:name w:val="Light Grid - Accent 123"/>
    <w:basedOn w:val="TableNormal"/>
    <w:uiPriority w:val="62"/>
    <w:rsid w:val="00156C90"/>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1">
    <w:name w:val="Light Grid - Accent 131"/>
    <w:basedOn w:val="TableNormal"/>
    <w:uiPriority w:val="62"/>
    <w:rsid w:val="000043A7"/>
    <w:pPr>
      <w:spacing w:before="0"/>
      <w:ind w:firstLine="0"/>
      <w:jc w:val="both"/>
    </w:pPr>
    <w:rPr>
      <w:rFonts w:ascii="Cambria" w:eastAsia="Calibri" w:hAnsi="Cambria"/>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1">
    <w:name w:val="Grid Table 6 Colorful - Accent 11"/>
    <w:basedOn w:val="TableNormal"/>
    <w:uiPriority w:val="51"/>
    <w:rsid w:val="00927175"/>
    <w:pPr>
      <w:ind w:firstLine="0"/>
      <w:jc w:val="both"/>
    </w:pPr>
    <w:rPr>
      <w:rFonts w:asciiTheme="minorHAnsi" w:eastAsiaTheme="minorEastAsia" w:hAnsiTheme="minorHAnsi" w:cstheme="minorBidi"/>
      <w:color w:val="365F91" w:themeColor="accent1" w:themeShade="BF"/>
      <w:sz w:val="22"/>
      <w:lang w:bidi="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ndnoteReference">
    <w:name w:val="endnote reference"/>
    <w:basedOn w:val="DefaultParagraphFont"/>
    <w:uiPriority w:val="99"/>
    <w:semiHidden/>
    <w:unhideWhenUsed/>
    <w:rsid w:val="00BA4518"/>
    <w:rPr>
      <w:vertAlign w:val="superscript"/>
    </w:rPr>
  </w:style>
  <w:style w:type="paragraph" w:customStyle="1" w:styleId="Article">
    <w:name w:val="Article"/>
    <w:basedOn w:val="NoSpacing"/>
    <w:autoRedefine/>
    <w:qFormat/>
    <w:rsid w:val="00C94481"/>
    <w:pPr>
      <w:keepNext/>
      <w:tabs>
        <w:tab w:val="left" w:pos="180"/>
      </w:tabs>
      <w:spacing w:before="240" w:after="0" w:line="240" w:lineRule="auto"/>
      <w:jc w:val="center"/>
    </w:pPr>
    <w:rPr>
      <w:rFonts w:eastAsia="Times New Roman"/>
      <w:b/>
      <w:noProof/>
      <w:szCs w:val="24"/>
      <w:lang w:val="sr-Cyrl-BA"/>
    </w:rPr>
  </w:style>
  <w:style w:type="paragraph" w:styleId="Revision">
    <w:name w:val="Revision"/>
    <w:hidden/>
    <w:uiPriority w:val="99"/>
    <w:semiHidden/>
    <w:rsid w:val="002E4D61"/>
    <w:pPr>
      <w:spacing w:before="0"/>
      <w:ind w:firstLine="0"/>
    </w:pPr>
    <w:rPr>
      <w:rFonts w:ascii="Cambria" w:hAnsi="Cambria"/>
    </w:rPr>
  </w:style>
  <w:style w:type="character" w:styleId="UnresolvedMention">
    <w:name w:val="Unresolved Mention"/>
    <w:basedOn w:val="DefaultParagraphFont"/>
    <w:uiPriority w:val="99"/>
    <w:semiHidden/>
    <w:unhideWhenUsed/>
    <w:rsid w:val="00ED706F"/>
    <w:rPr>
      <w:color w:val="605E5C"/>
      <w:shd w:val="clear" w:color="auto" w:fill="E1DFDD"/>
    </w:rPr>
  </w:style>
  <w:style w:type="table" w:customStyle="1" w:styleId="LightGrid-Accent1211">
    <w:name w:val="Light Grid - Accent 1211"/>
    <w:basedOn w:val="TableNormal"/>
    <w:uiPriority w:val="62"/>
    <w:rsid w:val="000F3F68"/>
    <w:pPr>
      <w:spacing w:before="0"/>
      <w:ind w:firstLine="0"/>
    </w:pPr>
    <w:rPr>
      <w:rFonts w:ascii="Cambria" w:hAnsi="Cambria"/>
      <w:lang w:val="en-A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15">
    <w:name w:val="Light Grid - Accent 115"/>
    <w:basedOn w:val="TableNormal"/>
    <w:uiPriority w:val="62"/>
    <w:rsid w:val="00F0610F"/>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2">
    <w:name w:val="No List2"/>
    <w:next w:val="NoList"/>
    <w:uiPriority w:val="99"/>
    <w:semiHidden/>
    <w:unhideWhenUsed/>
    <w:rsid w:val="00E1707F"/>
  </w:style>
  <w:style w:type="table" w:customStyle="1" w:styleId="TableGrid1">
    <w:name w:val="Table Grid1"/>
    <w:basedOn w:val="TableNormal"/>
    <w:next w:val="TableGrid"/>
    <w:uiPriority w:val="59"/>
    <w:rsid w:val="00E1707F"/>
    <w:pPr>
      <w:spacing w:before="0"/>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E1707F"/>
    <w:pPr>
      <w:spacing w:before="0"/>
      <w:ind w:firstLine="0"/>
    </w:pPr>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E1707F"/>
    <w:pPr>
      <w:spacing w:before="0"/>
      <w:ind w:firstLine="0"/>
    </w:pPr>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41">
    <w:name w:val="Light Shading - Accent 41"/>
    <w:basedOn w:val="TableNormal"/>
    <w:next w:val="LightShading-Accent4"/>
    <w:uiPriority w:val="60"/>
    <w:rsid w:val="00E1707F"/>
    <w:pPr>
      <w:spacing w:before="0"/>
      <w:ind w:firstLine="0"/>
    </w:pPr>
    <w:rPr>
      <w:rFonts w:ascii="Calibri" w:hAnsi="Calibri"/>
      <w:color w:val="5F497A"/>
      <w:sz w:val="22"/>
      <w:szCs w:val="22"/>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51">
    <w:name w:val="Light List - Accent 51"/>
    <w:basedOn w:val="TableNormal"/>
    <w:next w:val="LightList-Accent5"/>
    <w:uiPriority w:val="61"/>
    <w:rsid w:val="00E1707F"/>
    <w:pPr>
      <w:spacing w:before="0"/>
      <w:ind w:firstLine="0"/>
    </w:pPr>
    <w:rPr>
      <w:rFonts w:ascii="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Grid-Accent19">
    <w:name w:val="Light Grid - Accent 19"/>
    <w:basedOn w:val="TableNormal"/>
    <w:next w:val="LightGrid-Accent1"/>
    <w:uiPriority w:val="62"/>
    <w:rsid w:val="00E1707F"/>
    <w:pPr>
      <w:spacing w:before="0"/>
      <w:ind w:firstLine="0"/>
    </w:pPr>
    <w:rPr>
      <w:rFonts w:ascii="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1">
    <w:name w:val="Light Shading Accent 1"/>
    <w:basedOn w:val="TableNormal"/>
    <w:uiPriority w:val="60"/>
    <w:semiHidden/>
    <w:unhideWhenUsed/>
    <w:rsid w:val="00E1707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semiHidden/>
    <w:unhideWhenUsed/>
    <w:rsid w:val="00E1707F"/>
    <w:pPr>
      <w:spacing w:before="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semiHidden/>
    <w:unhideWhenUsed/>
    <w:rsid w:val="00E1707F"/>
    <w:pPr>
      <w:spacing w:before="0"/>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5">
    <w:name w:val="Light List Accent 5"/>
    <w:basedOn w:val="TableNormal"/>
    <w:uiPriority w:val="61"/>
    <w:semiHidden/>
    <w:unhideWhenUsed/>
    <w:rsid w:val="00E1707F"/>
    <w:pPr>
      <w:spacing w:before="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unhideWhenUsed/>
    <w:rsid w:val="00E1707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BookTitle">
    <w:name w:val="Book Title"/>
    <w:basedOn w:val="DefaultParagraphFont"/>
    <w:uiPriority w:val="33"/>
    <w:qFormat/>
    <w:rsid w:val="00875596"/>
    <w:rPr>
      <w:b/>
      <w:bCs/>
      <w:i/>
      <w:iCs/>
      <w:spacing w:val="5"/>
    </w:rPr>
  </w:style>
  <w:style w:type="paragraph" w:customStyle="1" w:styleId="Style8">
    <w:name w:val="Style8"/>
    <w:basedOn w:val="Normal"/>
    <w:uiPriority w:val="99"/>
    <w:rsid w:val="00BF6D48"/>
    <w:pPr>
      <w:widowControl w:val="0"/>
      <w:autoSpaceDE w:val="0"/>
      <w:autoSpaceDN w:val="0"/>
      <w:adjustRightInd w:val="0"/>
      <w:spacing w:before="0" w:after="0" w:line="280" w:lineRule="exact"/>
      <w:ind w:hanging="356"/>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110">
      <w:bodyDiv w:val="1"/>
      <w:marLeft w:val="0"/>
      <w:marRight w:val="0"/>
      <w:marTop w:val="0"/>
      <w:marBottom w:val="0"/>
      <w:divBdr>
        <w:top w:val="none" w:sz="0" w:space="0" w:color="auto"/>
        <w:left w:val="none" w:sz="0" w:space="0" w:color="auto"/>
        <w:bottom w:val="none" w:sz="0" w:space="0" w:color="auto"/>
        <w:right w:val="none" w:sz="0" w:space="0" w:color="auto"/>
      </w:divBdr>
    </w:div>
    <w:div w:id="237442939">
      <w:bodyDiv w:val="1"/>
      <w:marLeft w:val="0"/>
      <w:marRight w:val="0"/>
      <w:marTop w:val="0"/>
      <w:marBottom w:val="0"/>
      <w:divBdr>
        <w:top w:val="none" w:sz="0" w:space="0" w:color="auto"/>
        <w:left w:val="none" w:sz="0" w:space="0" w:color="auto"/>
        <w:bottom w:val="none" w:sz="0" w:space="0" w:color="auto"/>
        <w:right w:val="none" w:sz="0" w:space="0" w:color="auto"/>
      </w:divBdr>
    </w:div>
    <w:div w:id="367489006">
      <w:bodyDiv w:val="1"/>
      <w:marLeft w:val="0"/>
      <w:marRight w:val="0"/>
      <w:marTop w:val="0"/>
      <w:marBottom w:val="0"/>
      <w:divBdr>
        <w:top w:val="none" w:sz="0" w:space="0" w:color="auto"/>
        <w:left w:val="none" w:sz="0" w:space="0" w:color="auto"/>
        <w:bottom w:val="none" w:sz="0" w:space="0" w:color="auto"/>
        <w:right w:val="none" w:sz="0" w:space="0" w:color="auto"/>
      </w:divBdr>
    </w:div>
    <w:div w:id="380440600">
      <w:bodyDiv w:val="1"/>
      <w:marLeft w:val="0"/>
      <w:marRight w:val="0"/>
      <w:marTop w:val="0"/>
      <w:marBottom w:val="0"/>
      <w:divBdr>
        <w:top w:val="none" w:sz="0" w:space="0" w:color="auto"/>
        <w:left w:val="none" w:sz="0" w:space="0" w:color="auto"/>
        <w:bottom w:val="none" w:sz="0" w:space="0" w:color="auto"/>
        <w:right w:val="none" w:sz="0" w:space="0" w:color="auto"/>
      </w:divBdr>
    </w:div>
    <w:div w:id="514618546">
      <w:bodyDiv w:val="1"/>
      <w:marLeft w:val="0"/>
      <w:marRight w:val="0"/>
      <w:marTop w:val="0"/>
      <w:marBottom w:val="0"/>
      <w:divBdr>
        <w:top w:val="none" w:sz="0" w:space="0" w:color="auto"/>
        <w:left w:val="none" w:sz="0" w:space="0" w:color="auto"/>
        <w:bottom w:val="none" w:sz="0" w:space="0" w:color="auto"/>
        <w:right w:val="none" w:sz="0" w:space="0" w:color="auto"/>
      </w:divBdr>
    </w:div>
    <w:div w:id="703020115">
      <w:bodyDiv w:val="1"/>
      <w:marLeft w:val="0"/>
      <w:marRight w:val="0"/>
      <w:marTop w:val="0"/>
      <w:marBottom w:val="0"/>
      <w:divBdr>
        <w:top w:val="none" w:sz="0" w:space="0" w:color="auto"/>
        <w:left w:val="none" w:sz="0" w:space="0" w:color="auto"/>
        <w:bottom w:val="none" w:sz="0" w:space="0" w:color="auto"/>
        <w:right w:val="none" w:sz="0" w:space="0" w:color="auto"/>
      </w:divBdr>
    </w:div>
    <w:div w:id="842281748">
      <w:bodyDiv w:val="1"/>
      <w:marLeft w:val="0"/>
      <w:marRight w:val="0"/>
      <w:marTop w:val="0"/>
      <w:marBottom w:val="0"/>
      <w:divBdr>
        <w:top w:val="none" w:sz="0" w:space="0" w:color="auto"/>
        <w:left w:val="none" w:sz="0" w:space="0" w:color="auto"/>
        <w:bottom w:val="none" w:sz="0" w:space="0" w:color="auto"/>
        <w:right w:val="none" w:sz="0" w:space="0" w:color="auto"/>
      </w:divBdr>
    </w:div>
    <w:div w:id="1116214349">
      <w:bodyDiv w:val="1"/>
      <w:marLeft w:val="0"/>
      <w:marRight w:val="0"/>
      <w:marTop w:val="0"/>
      <w:marBottom w:val="0"/>
      <w:divBdr>
        <w:top w:val="none" w:sz="0" w:space="0" w:color="auto"/>
        <w:left w:val="none" w:sz="0" w:space="0" w:color="auto"/>
        <w:bottom w:val="none" w:sz="0" w:space="0" w:color="auto"/>
        <w:right w:val="none" w:sz="0" w:space="0" w:color="auto"/>
      </w:divBdr>
    </w:div>
    <w:div w:id="1141918386">
      <w:bodyDiv w:val="1"/>
      <w:marLeft w:val="0"/>
      <w:marRight w:val="0"/>
      <w:marTop w:val="0"/>
      <w:marBottom w:val="0"/>
      <w:divBdr>
        <w:top w:val="none" w:sz="0" w:space="0" w:color="auto"/>
        <w:left w:val="none" w:sz="0" w:space="0" w:color="auto"/>
        <w:bottom w:val="none" w:sz="0" w:space="0" w:color="auto"/>
        <w:right w:val="none" w:sz="0" w:space="0" w:color="auto"/>
      </w:divBdr>
    </w:div>
    <w:div w:id="1227377439">
      <w:bodyDiv w:val="1"/>
      <w:marLeft w:val="0"/>
      <w:marRight w:val="0"/>
      <w:marTop w:val="0"/>
      <w:marBottom w:val="0"/>
      <w:divBdr>
        <w:top w:val="none" w:sz="0" w:space="0" w:color="auto"/>
        <w:left w:val="none" w:sz="0" w:space="0" w:color="auto"/>
        <w:bottom w:val="none" w:sz="0" w:space="0" w:color="auto"/>
        <w:right w:val="none" w:sz="0" w:space="0" w:color="auto"/>
      </w:divBdr>
    </w:div>
    <w:div w:id="1319766171">
      <w:bodyDiv w:val="1"/>
      <w:marLeft w:val="0"/>
      <w:marRight w:val="0"/>
      <w:marTop w:val="0"/>
      <w:marBottom w:val="0"/>
      <w:divBdr>
        <w:top w:val="none" w:sz="0" w:space="0" w:color="auto"/>
        <w:left w:val="none" w:sz="0" w:space="0" w:color="auto"/>
        <w:bottom w:val="none" w:sz="0" w:space="0" w:color="auto"/>
        <w:right w:val="none" w:sz="0" w:space="0" w:color="auto"/>
      </w:divBdr>
    </w:div>
    <w:div w:id="1507095865">
      <w:bodyDiv w:val="1"/>
      <w:marLeft w:val="0"/>
      <w:marRight w:val="0"/>
      <w:marTop w:val="0"/>
      <w:marBottom w:val="0"/>
      <w:divBdr>
        <w:top w:val="none" w:sz="0" w:space="0" w:color="auto"/>
        <w:left w:val="none" w:sz="0" w:space="0" w:color="auto"/>
        <w:bottom w:val="none" w:sz="0" w:space="0" w:color="auto"/>
        <w:right w:val="none" w:sz="0" w:space="0" w:color="auto"/>
      </w:divBdr>
    </w:div>
    <w:div w:id="1678078386">
      <w:bodyDiv w:val="1"/>
      <w:marLeft w:val="0"/>
      <w:marRight w:val="0"/>
      <w:marTop w:val="0"/>
      <w:marBottom w:val="0"/>
      <w:divBdr>
        <w:top w:val="none" w:sz="0" w:space="0" w:color="auto"/>
        <w:left w:val="none" w:sz="0" w:space="0" w:color="auto"/>
        <w:bottom w:val="none" w:sz="0" w:space="0" w:color="auto"/>
        <w:right w:val="none" w:sz="0" w:space="0" w:color="auto"/>
      </w:divBdr>
    </w:div>
    <w:div w:id="1737823474">
      <w:bodyDiv w:val="1"/>
      <w:marLeft w:val="0"/>
      <w:marRight w:val="0"/>
      <w:marTop w:val="0"/>
      <w:marBottom w:val="0"/>
      <w:divBdr>
        <w:top w:val="none" w:sz="0" w:space="0" w:color="auto"/>
        <w:left w:val="none" w:sz="0" w:space="0" w:color="auto"/>
        <w:bottom w:val="none" w:sz="0" w:space="0" w:color="auto"/>
        <w:right w:val="none" w:sz="0" w:space="0" w:color="auto"/>
      </w:divBdr>
    </w:div>
    <w:div w:id="1764841968">
      <w:bodyDiv w:val="1"/>
      <w:marLeft w:val="0"/>
      <w:marRight w:val="0"/>
      <w:marTop w:val="0"/>
      <w:marBottom w:val="0"/>
      <w:divBdr>
        <w:top w:val="none" w:sz="0" w:space="0" w:color="auto"/>
        <w:left w:val="none" w:sz="0" w:space="0" w:color="auto"/>
        <w:bottom w:val="none" w:sz="0" w:space="0" w:color="auto"/>
        <w:right w:val="none" w:sz="0" w:space="0" w:color="auto"/>
      </w:divBdr>
    </w:div>
    <w:div w:id="1782410857">
      <w:bodyDiv w:val="1"/>
      <w:marLeft w:val="0"/>
      <w:marRight w:val="0"/>
      <w:marTop w:val="0"/>
      <w:marBottom w:val="0"/>
      <w:divBdr>
        <w:top w:val="none" w:sz="0" w:space="0" w:color="auto"/>
        <w:left w:val="none" w:sz="0" w:space="0" w:color="auto"/>
        <w:bottom w:val="none" w:sz="0" w:space="0" w:color="auto"/>
        <w:right w:val="none" w:sz="0" w:space="0" w:color="auto"/>
      </w:divBdr>
    </w:div>
    <w:div w:id="1869680698">
      <w:bodyDiv w:val="1"/>
      <w:marLeft w:val="0"/>
      <w:marRight w:val="0"/>
      <w:marTop w:val="0"/>
      <w:marBottom w:val="0"/>
      <w:divBdr>
        <w:top w:val="none" w:sz="0" w:space="0" w:color="auto"/>
        <w:left w:val="none" w:sz="0" w:space="0" w:color="auto"/>
        <w:bottom w:val="none" w:sz="0" w:space="0" w:color="auto"/>
        <w:right w:val="none" w:sz="0" w:space="0" w:color="auto"/>
      </w:divBdr>
    </w:div>
    <w:div w:id="2071687986">
      <w:bodyDiv w:val="1"/>
      <w:marLeft w:val="0"/>
      <w:marRight w:val="0"/>
      <w:marTop w:val="0"/>
      <w:marBottom w:val="0"/>
      <w:divBdr>
        <w:top w:val="none" w:sz="0" w:space="0" w:color="auto"/>
        <w:left w:val="none" w:sz="0" w:space="0" w:color="auto"/>
        <w:bottom w:val="none" w:sz="0" w:space="0" w:color="auto"/>
        <w:right w:val="none" w:sz="0" w:space="0" w:color="auto"/>
      </w:divBdr>
    </w:div>
    <w:div w:id="2111311817">
      <w:bodyDiv w:val="1"/>
      <w:marLeft w:val="0"/>
      <w:marRight w:val="0"/>
      <w:marTop w:val="0"/>
      <w:marBottom w:val="0"/>
      <w:divBdr>
        <w:top w:val="none" w:sz="0" w:space="0" w:color="auto"/>
        <w:left w:val="none" w:sz="0" w:space="0" w:color="auto"/>
        <w:bottom w:val="none" w:sz="0" w:space="0" w:color="auto"/>
        <w:right w:val="none" w:sz="0" w:space="0" w:color="auto"/>
      </w:divBdr>
    </w:div>
    <w:div w:id="21215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hyperlink" Target="http://10.0.0.209/Ucesnici/KastodiFull.aspx?id=d8a30101-29ba-43c9-a438-17df3f451177"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www.secrs.gov.ba/Izvjestaji/Izvjestaj%20o%20radu%202023.pdf" TargetMode="External"/><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10.0.0.209/Ucesnici/KastodiFull.aspx?id=28587fa0-7091-4bef-8434-d675ea03a9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s.gov.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1.xml"/><Relationship Id="rId10" Type="http://schemas.openxmlformats.org/officeDocument/2006/relationships/hyperlink" Target="mailto:kontakt@secrs.gov.ba" TargetMode="External"/><Relationship Id="rId19" Type="http://schemas.openxmlformats.org/officeDocument/2006/relationships/hyperlink" Target="http://10.0.0.209/Ucesnici/KastodiFull.aspx?id=5c611be4-09f2-40b0-bb41-7020c33da71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Layout" Target="diagrams/layout1.xml"/><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GI%202023%20lat\Radna%20sveska%20lat.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6871319549662471E-2"/>
          <c:y val="9.3463957399413738E-2"/>
          <c:w val="0.87278444631111041"/>
          <c:h val="0.85811079033839976"/>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2BAB-49A4-B498-10989A188FC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BAB-49A4-B498-10989A188FC1}"/>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BAB-49A4-B498-10989A188FC1}"/>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BAB-49A4-B498-10989A188FC1}"/>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BAB-49A4-B498-10989A188FC1}"/>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2BAB-49A4-B498-10989A188FC1}"/>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2BAB-49A4-B498-10989A188FC1}"/>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2BAB-49A4-B498-10989A188FC1}"/>
              </c:ext>
            </c:extLst>
          </c:dPt>
          <c:dLbls>
            <c:dLbl>
              <c:idx val="0"/>
              <c:layout>
                <c:manualLayout>
                  <c:x val="1.0896015970951269E-2"/>
                  <c:y val="-8.4322075144729586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BAB-49A4-B498-10989A188FC1}"/>
                </c:ext>
              </c:extLst>
            </c:dLbl>
            <c:dLbl>
              <c:idx val="1"/>
              <c:layout>
                <c:manualLayout>
                  <c:x val="-0.14838005266478352"/>
                  <c:y val="-0.12803677695120741"/>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15:layout>
                    <c:manualLayout>
                      <c:w val="0.34341301302791921"/>
                      <c:h val="0.20900732511089232"/>
                    </c:manualLayout>
                  </c15:layout>
                </c:ext>
                <c:ext xmlns:c16="http://schemas.microsoft.com/office/drawing/2014/chart" uri="{C3380CC4-5D6E-409C-BE32-E72D297353CC}">
                  <c16:uniqueId val="{00000003-2BAB-49A4-B498-10989A188FC1}"/>
                </c:ext>
              </c:extLst>
            </c:dLbl>
            <c:dLbl>
              <c:idx val="2"/>
              <c:layout>
                <c:manualLayout>
                  <c:x val="8.407352328199591E-2"/>
                  <c:y val="9.134988252499376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BAB-49A4-B498-10989A188FC1}"/>
                </c:ext>
              </c:extLst>
            </c:dLbl>
            <c:dLbl>
              <c:idx val="4"/>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6="http://schemas.microsoft.com/office/drawing/2014/chart" uri="{C3380CC4-5D6E-409C-BE32-E72D297353CC}">
                  <c16:uniqueId val="{00000009-2BAB-49A4-B498-10989A188FC1}"/>
                </c:ext>
              </c:extLst>
            </c:dLbl>
            <c:dLbl>
              <c:idx val="6"/>
              <c:layout>
                <c:manualLayout>
                  <c:x val="-5.4800426264317116E-2"/>
                  <c:y val="-0.1957959002943685"/>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2BAB-49A4-B498-10989A188FC1}"/>
                </c:ext>
              </c:extLst>
            </c:dLbl>
            <c:dLbl>
              <c:idx val="7"/>
              <c:layout>
                <c:manualLayout>
                  <c:x val="1.0940390804337898E-2"/>
                  <c:y val="-6.4450038123685438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2BAB-49A4-B498-10989A188FC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Sheet1!$A$2:$A$9</c:f>
              <c:strCache>
                <c:ptCount val="8"/>
                <c:pt idx="0">
                  <c:v>Трговање хартијама од вриједности емитената </c:v>
                </c:pt>
                <c:pt idx="1">
                  <c:v>Анализа мјесечног трговања и стања на Бањалучкој берзи</c:v>
                </c:pt>
                <c:pt idx="2">
                  <c:v>Друштва за управљање</c:v>
                </c:pt>
                <c:pt idx="3">
                  <c:v>Пословање овлашћених учесника на тржишту хартија од вриједности</c:v>
                </c:pt>
                <c:pt idx="4">
                  <c:v>Кастоди банке </c:v>
                </c:pt>
                <c:pt idx="5">
                  <c:v>Банке депозитари (укључујући Централни регистар као депозитара)</c:v>
                </c:pt>
                <c:pt idx="6">
                  <c:v>Централни регистар хартија од вриједности</c:v>
                </c:pt>
                <c:pt idx="7">
                  <c:v>Друштва за факторинг</c:v>
                </c:pt>
              </c:strCache>
            </c:strRef>
          </c:cat>
          <c:val>
            <c:numRef>
              <c:f>Sheet1!$B$2:$B$9</c:f>
              <c:numCache>
                <c:formatCode>General</c:formatCode>
                <c:ptCount val="8"/>
                <c:pt idx="0">
                  <c:v>1</c:v>
                </c:pt>
                <c:pt idx="1">
                  <c:v>12</c:v>
                </c:pt>
                <c:pt idx="2">
                  <c:v>1</c:v>
                </c:pt>
                <c:pt idx="3">
                  <c:v>1</c:v>
                </c:pt>
                <c:pt idx="4">
                  <c:v>3</c:v>
                </c:pt>
                <c:pt idx="5">
                  <c:v>1</c:v>
                </c:pt>
                <c:pt idx="6">
                  <c:v>2</c:v>
                </c:pt>
                <c:pt idx="7">
                  <c:v>2</c:v>
                </c:pt>
              </c:numCache>
            </c:numRef>
          </c:val>
          <c:extLst>
            <c:ext xmlns:c16="http://schemas.microsoft.com/office/drawing/2014/chart" uri="{C3380CC4-5D6E-409C-BE32-E72D297353CC}">
              <c16:uniqueId val="{00000010-2BAB-49A4-B498-10989A188FC1}"/>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3055555555555558E-2"/>
          <c:y val="0.17824074074074073"/>
          <c:w val="0.81388888888888888"/>
          <c:h val="0.77314814814814814"/>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BDF-4FFD-9FCC-2E5CF306C4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BDF-4FFD-9FCC-2E5CF306C4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BDF-4FFD-9FCC-2E5CF306C435}"/>
              </c:ext>
            </c:extLst>
          </c:dPt>
          <c:dLbls>
            <c:dLbl>
              <c:idx val="0"/>
              <c:layout>
                <c:manualLayout>
                  <c:x val="-0.21015277777777777"/>
                  <c:y val="-0.1563808690580344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BDF-4FFD-9FCC-2E5CF306C435}"/>
                </c:ext>
              </c:extLst>
            </c:dLbl>
            <c:dLbl>
              <c:idx val="1"/>
              <c:layout>
                <c:manualLayout>
                  <c:x val="0.19422911198600176"/>
                  <c:y val="5.8592155147273256E-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BDF-4FFD-9FCC-2E5CF306C435}"/>
                </c:ext>
              </c:extLst>
            </c:dLbl>
            <c:dLbl>
              <c:idx val="2"/>
              <c:layout>
                <c:manualLayout>
                  <c:x val="3.8394356955380578E-2"/>
                  <c:y val="-3.9377004957713617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BDF-4FFD-9FCC-2E5CF306C435}"/>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showLeaderLines val="0"/>
            <c:extLst>
              <c:ext xmlns:c15="http://schemas.microsoft.com/office/drawing/2012/chart" uri="{CE6537A1-D6FC-4f65-9D91-7224C49458BB}"/>
            </c:extLst>
          </c:dLbls>
          <c:cat>
            <c:strRef>
              <c:f>Sheet3!$A$38:$A$40</c:f>
              <c:strCache>
                <c:ptCount val="3"/>
                <c:pt idx="0">
                  <c:v>Континуирани надзор</c:v>
                </c:pt>
                <c:pt idx="1">
                  <c:v>Редовни надзор</c:v>
                </c:pt>
                <c:pt idx="2">
                  <c:v>Ванредни надзор</c:v>
                </c:pt>
              </c:strCache>
            </c:strRef>
          </c:cat>
          <c:val>
            <c:numRef>
              <c:f>Sheet3!$B$38:$B$40</c:f>
              <c:numCache>
                <c:formatCode>General</c:formatCode>
                <c:ptCount val="3"/>
                <c:pt idx="0">
                  <c:v>14</c:v>
                </c:pt>
                <c:pt idx="1">
                  <c:v>8</c:v>
                </c:pt>
                <c:pt idx="2">
                  <c:v>1</c:v>
                </c:pt>
              </c:numCache>
            </c:numRef>
          </c:val>
          <c:extLst>
            <c:ext xmlns:c16="http://schemas.microsoft.com/office/drawing/2014/chart" uri="{C3380CC4-5D6E-409C-BE32-E72D297353CC}">
              <c16:uniqueId val="{00000006-3BDF-4FFD-9FCC-2E5CF306C435}"/>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EFF0E6-96B8-4444-AEFE-5A1808C8C7CE}" type="doc">
      <dgm:prSet loTypeId="urn:microsoft.com/office/officeart/2005/8/layout/orgChart1" loCatId="hierarchy" qsTypeId="urn:microsoft.com/office/officeart/2005/8/quickstyle/3d1" qsCatId="3D" csTypeId="urn:microsoft.com/office/officeart/2005/8/colors/accent1_4" csCatId="accent1" phldr="1"/>
      <dgm:spPr/>
      <dgm:t>
        <a:bodyPr/>
        <a:lstStyle/>
        <a:p>
          <a:endParaRPr lang="sr-Latn-CS"/>
        </a:p>
      </dgm:t>
    </dgm:pt>
    <dgm:pt modelId="{A098CB35-69FC-4F39-AEA1-22681B79C9CF}">
      <dgm:prSet phldrT="[Text]" custT="1"/>
      <dgm:spPr/>
      <dgm:t>
        <a:bodyPr/>
        <a:lstStyle/>
        <a:p>
          <a:pPr algn="ctr"/>
          <a:r>
            <a:rPr lang="sr-Cyrl-CS" sz="900" b="1">
              <a:latin typeface="Times New Roman" panose="02020603050405020304" pitchFamily="18" charset="0"/>
              <a:cs typeface="Times New Roman" panose="02020603050405020304" pitchFamily="18" charset="0"/>
            </a:rPr>
            <a:t>Предсједник</a:t>
          </a:r>
          <a:endParaRPr lang="sr-Latn-CS" sz="900" b="1">
            <a:latin typeface="Times New Roman" panose="02020603050405020304" pitchFamily="18" charset="0"/>
            <a:cs typeface="Times New Roman" panose="02020603050405020304" pitchFamily="18" charset="0"/>
          </a:endParaRPr>
        </a:p>
      </dgm:t>
    </dgm:pt>
    <dgm:pt modelId="{7A9D4DF5-B258-4E34-9F2B-ACD874D04EDC}" type="par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780D0DC-A175-448F-AA58-D26020D4ABE4}" type="sib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41737FBF-946E-4427-8570-DBFC03849BCE}" type="asst">
      <dgm:prSet phldrT="[Text]" custT="1"/>
      <dgm:spPr/>
      <dgm:t>
        <a:bodyPr/>
        <a:lstStyle/>
        <a:p>
          <a:pPr algn="ctr"/>
          <a:r>
            <a:rPr lang="sr-Cyrl-CS" sz="900">
              <a:latin typeface="Times New Roman" panose="02020603050405020304" pitchFamily="18" charset="0"/>
              <a:cs typeface="Times New Roman" panose="02020603050405020304" pitchFamily="18" charset="0"/>
            </a:rPr>
            <a:t>Замјеник предсједника</a:t>
          </a:r>
        </a:p>
      </dgm:t>
    </dgm:pt>
    <dgm:pt modelId="{5D9AA314-3F72-4D56-8A77-CF377CD08A13}" type="par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EC5FF9AB-9803-48D3-9929-AA63EBDE3789}" type="sib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356998-4568-4F8C-ABD1-73B699A7CB31}">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емисију хартија од вриједности</a:t>
          </a:r>
          <a:endParaRPr lang="sr-Latn-CS" sz="900">
            <a:latin typeface="Times New Roman" panose="02020603050405020304" pitchFamily="18" charset="0"/>
            <a:cs typeface="Times New Roman" panose="02020603050405020304" pitchFamily="18" charset="0"/>
          </a:endParaRPr>
        </a:p>
      </dgm:t>
    </dgm:pt>
    <dgm:pt modelId="{AE65178F-7EE9-4DDE-A68A-0DA5312A4160}" type="par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E7C5D07E-6B4B-4759-976F-DA10DB15F1B4}" type="sib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5F77AC0A-D57D-4F5C-9D02-492B2E2D8AD7}">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издавање дозвола и слагласности учесницима на тржишту</a:t>
          </a:r>
          <a:endParaRPr lang="sr-Latn-CS" sz="900">
            <a:latin typeface="Times New Roman" panose="02020603050405020304" pitchFamily="18" charset="0"/>
            <a:cs typeface="Times New Roman" panose="02020603050405020304" pitchFamily="18" charset="0"/>
          </a:endParaRPr>
        </a:p>
      </dgm:t>
    </dgm:pt>
    <dgm:pt modelId="{F60E737B-5FC6-443D-894C-22BD1981AE34}" type="parTrans" cxnId="{2B579A09-7D01-4B1C-AC90-610CFEDD27E3}">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9A1A1520-E638-47CB-9863-5440A1183B3A}" type="sibTrans" cxnId="{2B579A09-7D01-4B1C-AC90-610CFEDD27E3}">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71687D3A-7D29-4736-B7B1-95D394EF5DF4}">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надзор</a:t>
          </a:r>
          <a:endParaRPr lang="sr-Latn-CS" sz="900">
            <a:latin typeface="Times New Roman" panose="02020603050405020304" pitchFamily="18" charset="0"/>
            <a:cs typeface="Times New Roman" panose="02020603050405020304" pitchFamily="18" charset="0"/>
          </a:endParaRPr>
        </a:p>
      </dgm:t>
    </dgm:pt>
    <dgm:pt modelId="{70C2019C-91BE-420A-A82C-47825A333795}" type="parTrans" cxnId="{0646F6D7-BDC2-4A33-B517-3CA8DD46A401}">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BBBF886D-29BC-4F28-80F2-9D78AF4B707F}" type="sibTrans" cxnId="{0646F6D7-BDC2-4A33-B517-3CA8DD46A401}">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31275758-EECE-48E7-87BC-4045B3B82264}" type="asst">
      <dgm:prSet phldrT="[Text]" custT="1"/>
      <dgm:spPr/>
      <dgm:t>
        <a:bodyPr/>
        <a:lstStyle/>
        <a:p>
          <a:pPr algn="ctr"/>
          <a:r>
            <a:rPr lang="sr-Cyrl-CS" sz="900">
              <a:latin typeface="Times New Roman" panose="02020603050405020304" pitchFamily="18" charset="0"/>
              <a:cs typeface="Times New Roman" panose="02020603050405020304" pitchFamily="18" charset="0"/>
            </a:rPr>
            <a:t>Секретаријат Комисије</a:t>
          </a:r>
        </a:p>
      </dgm:t>
    </dgm:pt>
    <dgm:pt modelId="{0D4A7437-917E-4471-A41D-CBC15F80CFF6}" type="par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2A619F3F-2709-4E4D-B337-314E94CE3550}" type="sib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2F30D03B-F255-4545-AA93-731BB1359AA3}">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развој и међународну сарадњу</a:t>
          </a:r>
          <a:endParaRPr lang="sr-Latn-CS" sz="900">
            <a:latin typeface="Times New Roman" panose="02020603050405020304" pitchFamily="18" charset="0"/>
            <a:cs typeface="Times New Roman" panose="02020603050405020304" pitchFamily="18" charset="0"/>
          </a:endParaRPr>
        </a:p>
      </dgm:t>
    </dgm:pt>
    <dgm:pt modelId="{41E753B0-A904-4D5F-949A-9023952BB4D8}" type="parTrans" cxnId="{D69BC5F8-360A-405C-B9DC-12D6C8A67DBC}">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38E61D62-13E8-4A66-BE6E-A12BE1CF0415}" type="sibTrans" cxnId="{D69BC5F8-360A-405C-B9DC-12D6C8A67DBC}">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C8A186B-CC00-4CB4-9788-0D608B961A46}" type="asst">
      <dgm:prSet phldrT="[Text]" custT="1"/>
      <dgm:spPr/>
      <dgm:t>
        <a:bodyPr/>
        <a:lstStyle/>
        <a:p>
          <a:pPr algn="ctr"/>
          <a:r>
            <a:rPr lang="sr-Cyrl-CS" sz="900">
              <a:latin typeface="Times New Roman" panose="02020603050405020304" pitchFamily="18" charset="0"/>
              <a:cs typeface="Times New Roman" panose="02020603050405020304" pitchFamily="18" charset="0"/>
            </a:rPr>
            <a:t>Чланови Комисије</a:t>
          </a:r>
        </a:p>
      </dgm:t>
    </dgm:pt>
    <dgm:pt modelId="{7EFC92D4-B6B3-4632-A1F5-BB691FEE5970}" type="par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F981F79-7BFB-4961-AAC5-3D3723DE291D}" type="sib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D07DC7-9305-44CF-B846-64506FF5CE97}" type="asst">
      <dgm:prSet phldrT="[Text]" custT="1"/>
      <dgm:spPr/>
      <dgm:t>
        <a:bodyPr/>
        <a:lstStyle/>
        <a:p>
          <a:pPr algn="ctr"/>
          <a:r>
            <a:rPr lang="sr-Cyrl-CS" sz="900">
              <a:latin typeface="Times New Roman" panose="02020603050405020304" pitchFamily="18" charset="0"/>
              <a:cs typeface="Times New Roman" panose="02020603050405020304" pitchFamily="18" charset="0"/>
            </a:rPr>
            <a:t>Интерни ревизор</a:t>
          </a:r>
        </a:p>
      </dgm:t>
    </dgm:pt>
    <dgm:pt modelId="{1D32BB17-B50E-4321-A6B2-1ECF88B1EA59}" type="parTrans" cxnId="{68287451-E1F4-4C06-98D3-94DB71DDA623}">
      <dgm:prSet/>
      <dgm:spPr/>
      <dgm:t>
        <a:bodyPr/>
        <a:lstStyle/>
        <a:p>
          <a:endParaRPr lang="sr-Latn-BA"/>
        </a:p>
      </dgm:t>
    </dgm:pt>
    <dgm:pt modelId="{3477717A-08E9-4E63-ADAB-065C43B3B8E0}" type="sibTrans" cxnId="{68287451-E1F4-4C06-98D3-94DB71DDA623}">
      <dgm:prSet/>
      <dgm:spPr/>
      <dgm:t>
        <a:bodyPr/>
        <a:lstStyle/>
        <a:p>
          <a:endParaRPr lang="sr-Latn-BA"/>
        </a:p>
      </dgm:t>
    </dgm:pt>
    <dgm:pt modelId="{36E86C13-D45F-4193-B09F-126E089C1AE2}" type="pres">
      <dgm:prSet presAssocID="{C8EFF0E6-96B8-4444-AEFE-5A1808C8C7CE}" presName="hierChild1" presStyleCnt="0">
        <dgm:presLayoutVars>
          <dgm:orgChart val="1"/>
          <dgm:chPref val="1"/>
          <dgm:dir/>
          <dgm:animOne val="branch"/>
          <dgm:animLvl val="lvl"/>
          <dgm:resizeHandles/>
        </dgm:presLayoutVars>
      </dgm:prSet>
      <dgm:spPr/>
    </dgm:pt>
    <dgm:pt modelId="{A1D25391-ACEB-43E8-BC60-E36295AF52C0}" type="pres">
      <dgm:prSet presAssocID="{A098CB35-69FC-4F39-AEA1-22681B79C9CF}" presName="hierRoot1" presStyleCnt="0">
        <dgm:presLayoutVars>
          <dgm:hierBranch val="init"/>
        </dgm:presLayoutVars>
      </dgm:prSet>
      <dgm:spPr/>
    </dgm:pt>
    <dgm:pt modelId="{E2B360FC-D6E4-4D6E-BC5C-2E2A8CCEBFD3}" type="pres">
      <dgm:prSet presAssocID="{A098CB35-69FC-4F39-AEA1-22681B79C9CF}" presName="rootComposite1" presStyleCnt="0"/>
      <dgm:spPr/>
    </dgm:pt>
    <dgm:pt modelId="{F7D6D2B7-4BCD-45F4-81EB-06EF7902C393}" type="pres">
      <dgm:prSet presAssocID="{A098CB35-69FC-4F39-AEA1-22681B79C9CF}" presName="rootText1" presStyleLbl="node0" presStyleIdx="0" presStyleCnt="1">
        <dgm:presLayoutVars>
          <dgm:chPref val="3"/>
        </dgm:presLayoutVars>
      </dgm:prSet>
      <dgm:spPr/>
    </dgm:pt>
    <dgm:pt modelId="{3C33A457-07F2-42FE-9ECD-BCE1FC82ADB0}" type="pres">
      <dgm:prSet presAssocID="{A098CB35-69FC-4F39-AEA1-22681B79C9CF}" presName="rootConnector1" presStyleLbl="node1" presStyleIdx="0" presStyleCnt="0"/>
      <dgm:spPr/>
    </dgm:pt>
    <dgm:pt modelId="{78938F40-4519-4577-B577-F7C59F0BC597}" type="pres">
      <dgm:prSet presAssocID="{A098CB35-69FC-4F39-AEA1-22681B79C9CF}" presName="hierChild2" presStyleCnt="0"/>
      <dgm:spPr/>
    </dgm:pt>
    <dgm:pt modelId="{0F58C1E9-1BCC-4C35-B1DA-CE251FB15A67}" type="pres">
      <dgm:prSet presAssocID="{AE65178F-7EE9-4DDE-A68A-0DA5312A4160}" presName="Name37" presStyleLbl="parChTrans1D2" presStyleIdx="0" presStyleCnt="8"/>
      <dgm:spPr/>
    </dgm:pt>
    <dgm:pt modelId="{2AE8C5B1-73D8-4A19-8D05-2B3205F0024C}" type="pres">
      <dgm:prSet presAssocID="{8B356998-4568-4F8C-ABD1-73B699A7CB31}" presName="hierRoot2" presStyleCnt="0">
        <dgm:presLayoutVars>
          <dgm:hierBranch val="init"/>
        </dgm:presLayoutVars>
      </dgm:prSet>
      <dgm:spPr/>
    </dgm:pt>
    <dgm:pt modelId="{0EA2BB67-597F-4B80-A9E9-C209594C41EE}" type="pres">
      <dgm:prSet presAssocID="{8B356998-4568-4F8C-ABD1-73B699A7CB31}" presName="rootComposite" presStyleCnt="0"/>
      <dgm:spPr/>
    </dgm:pt>
    <dgm:pt modelId="{AE64585F-A53C-4130-89A1-BF3C8DA02F79}" type="pres">
      <dgm:prSet presAssocID="{8B356998-4568-4F8C-ABD1-73B699A7CB31}" presName="rootText" presStyleLbl="node2" presStyleIdx="0" presStyleCnt="4" custScaleX="114574" custLinFactNeighborX="-14582" custLinFactNeighborY="387">
        <dgm:presLayoutVars>
          <dgm:chPref val="3"/>
        </dgm:presLayoutVars>
      </dgm:prSet>
      <dgm:spPr/>
    </dgm:pt>
    <dgm:pt modelId="{21A8B4C4-C963-4BCC-90E7-8B927501AF64}" type="pres">
      <dgm:prSet presAssocID="{8B356998-4568-4F8C-ABD1-73B699A7CB31}" presName="rootConnector" presStyleLbl="node2" presStyleIdx="0" presStyleCnt="4"/>
      <dgm:spPr/>
    </dgm:pt>
    <dgm:pt modelId="{F24C621D-CEF7-4C5B-86C1-AD8AC762A0BD}" type="pres">
      <dgm:prSet presAssocID="{8B356998-4568-4F8C-ABD1-73B699A7CB31}" presName="hierChild4" presStyleCnt="0"/>
      <dgm:spPr/>
    </dgm:pt>
    <dgm:pt modelId="{46A8D7EC-7C2A-4A66-B7DA-137D8DABE40C}" type="pres">
      <dgm:prSet presAssocID="{8B356998-4568-4F8C-ABD1-73B699A7CB31}" presName="hierChild5" presStyleCnt="0"/>
      <dgm:spPr/>
    </dgm:pt>
    <dgm:pt modelId="{63BA75B8-2FFF-4DDB-92D8-2F9909B44C1F}" type="pres">
      <dgm:prSet presAssocID="{41E753B0-A904-4D5F-949A-9023952BB4D8}" presName="Name37" presStyleLbl="parChTrans1D2" presStyleIdx="1" presStyleCnt="8"/>
      <dgm:spPr/>
    </dgm:pt>
    <dgm:pt modelId="{60ABBF40-EE46-4564-A595-EFCAFA104465}" type="pres">
      <dgm:prSet presAssocID="{2F30D03B-F255-4545-AA93-731BB1359AA3}" presName="hierRoot2" presStyleCnt="0">
        <dgm:presLayoutVars>
          <dgm:hierBranch val="init"/>
        </dgm:presLayoutVars>
      </dgm:prSet>
      <dgm:spPr/>
    </dgm:pt>
    <dgm:pt modelId="{A16E2D5D-BF3A-485B-88B5-7046B0272B32}" type="pres">
      <dgm:prSet presAssocID="{2F30D03B-F255-4545-AA93-731BB1359AA3}" presName="rootComposite" presStyleCnt="0"/>
      <dgm:spPr/>
    </dgm:pt>
    <dgm:pt modelId="{2B051BD1-22DF-42F8-A7FF-BBBF830B0090}" type="pres">
      <dgm:prSet presAssocID="{2F30D03B-F255-4545-AA93-731BB1359AA3}" presName="rootText" presStyleLbl="node2" presStyleIdx="1" presStyleCnt="4" custScaleX="124604">
        <dgm:presLayoutVars>
          <dgm:chPref val="3"/>
        </dgm:presLayoutVars>
      </dgm:prSet>
      <dgm:spPr/>
    </dgm:pt>
    <dgm:pt modelId="{765E67C9-0C91-467D-A877-28867FB93358}" type="pres">
      <dgm:prSet presAssocID="{2F30D03B-F255-4545-AA93-731BB1359AA3}" presName="rootConnector" presStyleLbl="node2" presStyleIdx="1" presStyleCnt="4"/>
      <dgm:spPr/>
    </dgm:pt>
    <dgm:pt modelId="{9C5429B2-66F5-4976-94D6-B231ECA6543E}" type="pres">
      <dgm:prSet presAssocID="{2F30D03B-F255-4545-AA93-731BB1359AA3}" presName="hierChild4" presStyleCnt="0"/>
      <dgm:spPr/>
    </dgm:pt>
    <dgm:pt modelId="{C5934BB3-278F-4349-9EE3-BD800C985435}" type="pres">
      <dgm:prSet presAssocID="{2F30D03B-F255-4545-AA93-731BB1359AA3}" presName="hierChild5" presStyleCnt="0"/>
      <dgm:spPr/>
    </dgm:pt>
    <dgm:pt modelId="{5F5BA79D-D190-4589-BDB0-8449714EFD0A}" type="pres">
      <dgm:prSet presAssocID="{F60E737B-5FC6-443D-894C-22BD1981AE34}" presName="Name37" presStyleLbl="parChTrans1D2" presStyleIdx="2" presStyleCnt="8"/>
      <dgm:spPr/>
    </dgm:pt>
    <dgm:pt modelId="{EFF407CD-D0D3-4160-922F-B8E10A551DB9}" type="pres">
      <dgm:prSet presAssocID="{5F77AC0A-D57D-4F5C-9D02-492B2E2D8AD7}" presName="hierRoot2" presStyleCnt="0">
        <dgm:presLayoutVars>
          <dgm:hierBranch val="init"/>
        </dgm:presLayoutVars>
      </dgm:prSet>
      <dgm:spPr/>
    </dgm:pt>
    <dgm:pt modelId="{D9F8B48E-9CF1-4A8B-9ADE-F867E868501D}" type="pres">
      <dgm:prSet presAssocID="{5F77AC0A-D57D-4F5C-9D02-492B2E2D8AD7}" presName="rootComposite" presStyleCnt="0"/>
      <dgm:spPr/>
    </dgm:pt>
    <dgm:pt modelId="{9BF8A96B-13A7-4608-ABEA-ABD829EA54D1}" type="pres">
      <dgm:prSet presAssocID="{5F77AC0A-D57D-4F5C-9D02-492B2E2D8AD7}" presName="rootText" presStyleLbl="node2" presStyleIdx="2" presStyleCnt="4" custScaleX="188453">
        <dgm:presLayoutVars>
          <dgm:chPref val="3"/>
        </dgm:presLayoutVars>
      </dgm:prSet>
      <dgm:spPr/>
    </dgm:pt>
    <dgm:pt modelId="{22BA8367-DE85-4F74-B1C1-36EEFF23EE81}" type="pres">
      <dgm:prSet presAssocID="{5F77AC0A-D57D-4F5C-9D02-492B2E2D8AD7}" presName="rootConnector" presStyleLbl="node2" presStyleIdx="2" presStyleCnt="4"/>
      <dgm:spPr/>
    </dgm:pt>
    <dgm:pt modelId="{B7F7AF16-2CA5-4C9F-9486-53587B7DA4FE}" type="pres">
      <dgm:prSet presAssocID="{5F77AC0A-D57D-4F5C-9D02-492B2E2D8AD7}" presName="hierChild4" presStyleCnt="0"/>
      <dgm:spPr/>
    </dgm:pt>
    <dgm:pt modelId="{AB436621-613B-4EC2-8EF2-62F40AB1C7DB}" type="pres">
      <dgm:prSet presAssocID="{5F77AC0A-D57D-4F5C-9D02-492B2E2D8AD7}" presName="hierChild5" presStyleCnt="0"/>
      <dgm:spPr/>
    </dgm:pt>
    <dgm:pt modelId="{62AA924F-8025-482D-92DF-C1630074AA78}" type="pres">
      <dgm:prSet presAssocID="{70C2019C-91BE-420A-A82C-47825A333795}" presName="Name37" presStyleLbl="parChTrans1D2" presStyleIdx="3" presStyleCnt="8"/>
      <dgm:spPr/>
    </dgm:pt>
    <dgm:pt modelId="{EE6D7781-63DE-46C2-A1A5-78D96FE11D9A}" type="pres">
      <dgm:prSet presAssocID="{71687D3A-7D29-4736-B7B1-95D394EF5DF4}" presName="hierRoot2" presStyleCnt="0">
        <dgm:presLayoutVars>
          <dgm:hierBranch val="init"/>
        </dgm:presLayoutVars>
      </dgm:prSet>
      <dgm:spPr/>
    </dgm:pt>
    <dgm:pt modelId="{E63161EF-559B-4A1C-B2F9-1DD4AEEB087A}" type="pres">
      <dgm:prSet presAssocID="{71687D3A-7D29-4736-B7B1-95D394EF5DF4}" presName="rootComposite" presStyleCnt="0"/>
      <dgm:spPr/>
    </dgm:pt>
    <dgm:pt modelId="{7FFD9814-E0ED-436A-B03E-CE8B63E69163}" type="pres">
      <dgm:prSet presAssocID="{71687D3A-7D29-4736-B7B1-95D394EF5DF4}" presName="rootText" presStyleLbl="node2" presStyleIdx="3" presStyleCnt="4" custScaleX="117657" custLinFactNeighborX="911" custLinFactNeighborY="387">
        <dgm:presLayoutVars>
          <dgm:chPref val="3"/>
        </dgm:presLayoutVars>
      </dgm:prSet>
      <dgm:spPr/>
    </dgm:pt>
    <dgm:pt modelId="{E6F4C7C7-4EDF-40B3-AAB7-404A984EE743}" type="pres">
      <dgm:prSet presAssocID="{71687D3A-7D29-4736-B7B1-95D394EF5DF4}" presName="rootConnector" presStyleLbl="node2" presStyleIdx="3" presStyleCnt="4"/>
      <dgm:spPr/>
    </dgm:pt>
    <dgm:pt modelId="{1EEDFBE5-905E-4138-9155-F47AA4547145}" type="pres">
      <dgm:prSet presAssocID="{71687D3A-7D29-4736-B7B1-95D394EF5DF4}" presName="hierChild4" presStyleCnt="0"/>
      <dgm:spPr/>
    </dgm:pt>
    <dgm:pt modelId="{E0C86047-E8FC-4A38-AC99-FBDC796B6D65}" type="pres">
      <dgm:prSet presAssocID="{71687D3A-7D29-4736-B7B1-95D394EF5DF4}" presName="hierChild5" presStyleCnt="0"/>
      <dgm:spPr/>
    </dgm:pt>
    <dgm:pt modelId="{3E1DD641-13A1-466D-B971-8C65BB6507B7}" type="pres">
      <dgm:prSet presAssocID="{A098CB35-69FC-4F39-AEA1-22681B79C9CF}" presName="hierChild3" presStyleCnt="0"/>
      <dgm:spPr/>
    </dgm:pt>
    <dgm:pt modelId="{53FAB72A-6A6E-470B-91E3-3626A2BFA659}" type="pres">
      <dgm:prSet presAssocID="{5D9AA314-3F72-4D56-8A77-CF377CD08A13}" presName="Name111" presStyleLbl="parChTrans1D2" presStyleIdx="4" presStyleCnt="8"/>
      <dgm:spPr/>
    </dgm:pt>
    <dgm:pt modelId="{33501C1D-34BA-45F0-96B1-073A5DDB1049}" type="pres">
      <dgm:prSet presAssocID="{41737FBF-946E-4427-8570-DBFC03849BCE}" presName="hierRoot3" presStyleCnt="0">
        <dgm:presLayoutVars>
          <dgm:hierBranch val="init"/>
        </dgm:presLayoutVars>
      </dgm:prSet>
      <dgm:spPr/>
    </dgm:pt>
    <dgm:pt modelId="{856C023D-4D2E-4493-A78B-CD7F6CDE8262}" type="pres">
      <dgm:prSet presAssocID="{41737FBF-946E-4427-8570-DBFC03849BCE}" presName="rootComposite3" presStyleCnt="0"/>
      <dgm:spPr/>
    </dgm:pt>
    <dgm:pt modelId="{24B3E1AB-FAB1-4EC7-B3C6-78C7E562B3B9}" type="pres">
      <dgm:prSet presAssocID="{41737FBF-946E-4427-8570-DBFC03849BCE}" presName="rootText3" presStyleLbl="asst1" presStyleIdx="0" presStyleCnt="4" custScaleX="159014" custLinFactX="-6329" custLinFactY="-42386" custLinFactNeighborX="-100000" custLinFactNeighborY="-100000">
        <dgm:presLayoutVars>
          <dgm:chPref val="3"/>
        </dgm:presLayoutVars>
      </dgm:prSet>
      <dgm:spPr/>
    </dgm:pt>
    <dgm:pt modelId="{C88E78B2-B19C-4C63-9BD6-31D732270D9C}" type="pres">
      <dgm:prSet presAssocID="{41737FBF-946E-4427-8570-DBFC03849BCE}" presName="rootConnector3" presStyleLbl="asst1" presStyleIdx="0" presStyleCnt="4"/>
      <dgm:spPr/>
    </dgm:pt>
    <dgm:pt modelId="{D1731FFF-5303-4D6A-AD0C-5C6FFE6F5B2D}" type="pres">
      <dgm:prSet presAssocID="{41737FBF-946E-4427-8570-DBFC03849BCE}" presName="hierChild6" presStyleCnt="0"/>
      <dgm:spPr/>
    </dgm:pt>
    <dgm:pt modelId="{D44A4A70-79A3-479D-82AE-E85E76DC8F77}" type="pres">
      <dgm:prSet presAssocID="{41737FBF-946E-4427-8570-DBFC03849BCE}" presName="hierChild7" presStyleCnt="0"/>
      <dgm:spPr/>
    </dgm:pt>
    <dgm:pt modelId="{19EA7F88-E762-4751-9210-4CC7F0F20177}" type="pres">
      <dgm:prSet presAssocID="{0D4A7437-917E-4471-A41D-CBC15F80CFF6}" presName="Name111" presStyleLbl="parChTrans1D2" presStyleIdx="5" presStyleCnt="8"/>
      <dgm:spPr/>
    </dgm:pt>
    <dgm:pt modelId="{7B1985C6-CF45-46D5-8D0D-05BF4EA62EB1}" type="pres">
      <dgm:prSet presAssocID="{31275758-EECE-48E7-87BC-4045B3B82264}" presName="hierRoot3" presStyleCnt="0">
        <dgm:presLayoutVars>
          <dgm:hierBranch val="init"/>
        </dgm:presLayoutVars>
      </dgm:prSet>
      <dgm:spPr/>
    </dgm:pt>
    <dgm:pt modelId="{15EEB00E-B975-4302-A883-B38B253F3C9A}" type="pres">
      <dgm:prSet presAssocID="{31275758-EECE-48E7-87BC-4045B3B82264}" presName="rootComposite3" presStyleCnt="0"/>
      <dgm:spPr/>
    </dgm:pt>
    <dgm:pt modelId="{9C0E7CEE-CA04-4557-B579-B4284E3B2F58}" type="pres">
      <dgm:prSet presAssocID="{31275758-EECE-48E7-87BC-4045B3B82264}" presName="rootText3" presStyleLbl="asst1" presStyleIdx="1" presStyleCnt="4" custScaleX="110488" custLinFactNeighborX="4557" custLinFactNeighborY="29164">
        <dgm:presLayoutVars>
          <dgm:chPref val="3"/>
        </dgm:presLayoutVars>
      </dgm:prSet>
      <dgm:spPr/>
    </dgm:pt>
    <dgm:pt modelId="{359F6803-C3AE-4071-BCF9-B432F8C185C3}" type="pres">
      <dgm:prSet presAssocID="{31275758-EECE-48E7-87BC-4045B3B82264}" presName="rootConnector3" presStyleLbl="asst1" presStyleIdx="1" presStyleCnt="4"/>
      <dgm:spPr/>
    </dgm:pt>
    <dgm:pt modelId="{68A15229-B6D3-4552-B284-A75770272376}" type="pres">
      <dgm:prSet presAssocID="{31275758-EECE-48E7-87BC-4045B3B82264}" presName="hierChild6" presStyleCnt="0"/>
      <dgm:spPr/>
    </dgm:pt>
    <dgm:pt modelId="{DAB772E9-4067-4116-B08B-915FB4E9CB07}" type="pres">
      <dgm:prSet presAssocID="{31275758-EECE-48E7-87BC-4045B3B82264}" presName="hierChild7" presStyleCnt="0"/>
      <dgm:spPr/>
    </dgm:pt>
    <dgm:pt modelId="{53398FA4-5018-4F6A-8D1C-14DD1BC4B34A}" type="pres">
      <dgm:prSet presAssocID="{1D32BB17-B50E-4321-A6B2-1ECF88B1EA59}" presName="Name111" presStyleLbl="parChTrans1D2" presStyleIdx="6" presStyleCnt="8"/>
      <dgm:spPr/>
    </dgm:pt>
    <dgm:pt modelId="{696E00E2-9DD9-42D3-AF92-600DB54A1D82}" type="pres">
      <dgm:prSet presAssocID="{8BD07DC7-9305-44CF-B846-64506FF5CE97}" presName="hierRoot3" presStyleCnt="0">
        <dgm:presLayoutVars>
          <dgm:hierBranch val="init"/>
        </dgm:presLayoutVars>
      </dgm:prSet>
      <dgm:spPr/>
    </dgm:pt>
    <dgm:pt modelId="{C9FAAA1E-151A-4948-9ABD-76A1813E6D88}" type="pres">
      <dgm:prSet presAssocID="{8BD07DC7-9305-44CF-B846-64506FF5CE97}" presName="rootComposite3" presStyleCnt="0"/>
      <dgm:spPr/>
    </dgm:pt>
    <dgm:pt modelId="{0D5FCD05-6A67-4944-8CDA-66F62A810B15}" type="pres">
      <dgm:prSet presAssocID="{8BD07DC7-9305-44CF-B846-64506FF5CE97}" presName="rootText3" presStyleLbl="asst1" presStyleIdx="2" presStyleCnt="4">
        <dgm:presLayoutVars>
          <dgm:chPref val="3"/>
        </dgm:presLayoutVars>
      </dgm:prSet>
      <dgm:spPr/>
    </dgm:pt>
    <dgm:pt modelId="{07BC0234-7BDC-44F3-9A66-29AAED1A5CB4}" type="pres">
      <dgm:prSet presAssocID="{8BD07DC7-9305-44CF-B846-64506FF5CE97}" presName="rootConnector3" presStyleLbl="asst1" presStyleIdx="2" presStyleCnt="4"/>
      <dgm:spPr/>
    </dgm:pt>
    <dgm:pt modelId="{2C9DF1D9-8BC7-4DC5-AD24-BADF523DF3EC}" type="pres">
      <dgm:prSet presAssocID="{8BD07DC7-9305-44CF-B846-64506FF5CE97}" presName="hierChild6" presStyleCnt="0"/>
      <dgm:spPr/>
    </dgm:pt>
    <dgm:pt modelId="{A3DE5C8C-5FDF-47AF-849F-85D660365E72}" type="pres">
      <dgm:prSet presAssocID="{8BD07DC7-9305-44CF-B846-64506FF5CE97}" presName="hierChild7" presStyleCnt="0"/>
      <dgm:spPr/>
    </dgm:pt>
    <dgm:pt modelId="{F2CC5B1D-91CC-4105-AD0E-3D29A4129BDE}" type="pres">
      <dgm:prSet presAssocID="{7EFC92D4-B6B3-4632-A1F5-BB691FEE5970}" presName="Name111" presStyleLbl="parChTrans1D2" presStyleIdx="7" presStyleCnt="8"/>
      <dgm:spPr/>
    </dgm:pt>
    <dgm:pt modelId="{4A7A4C23-1324-4109-A383-FBFE93DC27C2}" type="pres">
      <dgm:prSet presAssocID="{FC8A186B-CC00-4CB4-9788-0D608B961A46}" presName="hierRoot3" presStyleCnt="0">
        <dgm:presLayoutVars>
          <dgm:hierBranch val="init"/>
        </dgm:presLayoutVars>
      </dgm:prSet>
      <dgm:spPr/>
    </dgm:pt>
    <dgm:pt modelId="{F4F93DDE-B0D4-4482-8850-584FBF211547}" type="pres">
      <dgm:prSet presAssocID="{FC8A186B-CC00-4CB4-9788-0D608B961A46}" presName="rootComposite3" presStyleCnt="0"/>
      <dgm:spPr/>
    </dgm:pt>
    <dgm:pt modelId="{3731EF64-E532-4C3F-9FE4-565F1AACDBE6}" type="pres">
      <dgm:prSet presAssocID="{FC8A186B-CC00-4CB4-9788-0D608B961A46}" presName="rootText3" presStyleLbl="asst1" presStyleIdx="3" presStyleCnt="4" custScaleX="159638" custLinFactX="100000" custLinFactY="-100000" custLinFactNeighborX="145159" custLinFactNeighborY="-184386">
        <dgm:presLayoutVars>
          <dgm:chPref val="3"/>
        </dgm:presLayoutVars>
      </dgm:prSet>
      <dgm:spPr/>
    </dgm:pt>
    <dgm:pt modelId="{C6DF96AB-0D51-4127-B4C3-17B9E48F9894}" type="pres">
      <dgm:prSet presAssocID="{FC8A186B-CC00-4CB4-9788-0D608B961A46}" presName="rootConnector3" presStyleLbl="asst1" presStyleIdx="3" presStyleCnt="4"/>
      <dgm:spPr/>
    </dgm:pt>
    <dgm:pt modelId="{67DF4B74-EF39-4A6A-A26A-2F15BACEB23A}" type="pres">
      <dgm:prSet presAssocID="{FC8A186B-CC00-4CB4-9788-0D608B961A46}" presName="hierChild6" presStyleCnt="0"/>
      <dgm:spPr/>
    </dgm:pt>
    <dgm:pt modelId="{4A31AE8E-7CD0-4044-A55F-A5297A347274}" type="pres">
      <dgm:prSet presAssocID="{FC8A186B-CC00-4CB4-9788-0D608B961A46}" presName="hierChild7" presStyleCnt="0"/>
      <dgm:spPr/>
    </dgm:pt>
  </dgm:ptLst>
  <dgm:cxnLst>
    <dgm:cxn modelId="{7C955806-A136-4C93-939B-1A9C04AE8718}" srcId="{C8EFF0E6-96B8-4444-AEFE-5A1808C8C7CE}" destId="{A098CB35-69FC-4F39-AEA1-22681B79C9CF}" srcOrd="0" destOrd="0" parTransId="{7A9D4DF5-B258-4E34-9F2B-ACD874D04EDC}" sibTransId="{0780D0DC-A175-448F-AA58-D26020D4ABE4}"/>
    <dgm:cxn modelId="{2B579A09-7D01-4B1C-AC90-610CFEDD27E3}" srcId="{A098CB35-69FC-4F39-AEA1-22681B79C9CF}" destId="{5F77AC0A-D57D-4F5C-9D02-492B2E2D8AD7}" srcOrd="6" destOrd="0" parTransId="{F60E737B-5FC6-443D-894C-22BD1981AE34}" sibTransId="{9A1A1520-E638-47CB-9863-5440A1183B3A}"/>
    <dgm:cxn modelId="{24CF140F-F38C-411B-BF01-2489BD0EB2E8}" srcId="{A098CB35-69FC-4F39-AEA1-22681B79C9CF}" destId="{41737FBF-946E-4427-8570-DBFC03849BCE}" srcOrd="0" destOrd="0" parTransId="{5D9AA314-3F72-4D56-8A77-CF377CD08A13}" sibTransId="{EC5FF9AB-9803-48D3-9929-AA63EBDE3789}"/>
    <dgm:cxn modelId="{55473C0F-ED51-4423-A2ED-45E8598BA5F9}" type="presOf" srcId="{31275758-EECE-48E7-87BC-4045B3B82264}" destId="{9C0E7CEE-CA04-4557-B579-B4284E3B2F58}" srcOrd="0" destOrd="0" presId="urn:microsoft.com/office/officeart/2005/8/layout/orgChart1"/>
    <dgm:cxn modelId="{11DF1113-23CD-4289-A80F-E66499779CFB}" type="presOf" srcId="{FC8A186B-CC00-4CB4-9788-0D608B961A46}" destId="{3731EF64-E532-4C3F-9FE4-565F1AACDBE6}" srcOrd="0" destOrd="0" presId="urn:microsoft.com/office/officeart/2005/8/layout/orgChart1"/>
    <dgm:cxn modelId="{711A381C-DBCD-4508-90A6-594054A26AE7}" type="presOf" srcId="{2F30D03B-F255-4545-AA93-731BB1359AA3}" destId="{765E67C9-0C91-467D-A877-28867FB93358}" srcOrd="1" destOrd="0" presId="urn:microsoft.com/office/officeart/2005/8/layout/orgChart1"/>
    <dgm:cxn modelId="{41DEC01F-7DD8-41C3-8EBA-EA76348AC7B9}" type="presOf" srcId="{A098CB35-69FC-4F39-AEA1-22681B79C9CF}" destId="{3C33A457-07F2-42FE-9ECD-BCE1FC82ADB0}" srcOrd="1" destOrd="0" presId="urn:microsoft.com/office/officeart/2005/8/layout/orgChart1"/>
    <dgm:cxn modelId="{32785228-351B-4A5C-928D-ACE02DE02E3B}" type="presOf" srcId="{8BD07DC7-9305-44CF-B846-64506FF5CE97}" destId="{0D5FCD05-6A67-4944-8CDA-66F62A810B15}" srcOrd="0" destOrd="0" presId="urn:microsoft.com/office/officeart/2005/8/layout/orgChart1"/>
    <dgm:cxn modelId="{72C3172C-0420-4CC7-8FCD-935EDE4C8C07}" type="presOf" srcId="{AE65178F-7EE9-4DDE-A68A-0DA5312A4160}" destId="{0F58C1E9-1BCC-4C35-B1DA-CE251FB15A67}" srcOrd="0" destOrd="0" presId="urn:microsoft.com/office/officeart/2005/8/layout/orgChart1"/>
    <dgm:cxn modelId="{A80C535E-3B0B-4AD2-B32E-D10F073FC22F}" type="presOf" srcId="{F60E737B-5FC6-443D-894C-22BD1981AE34}" destId="{5F5BA79D-D190-4589-BDB0-8449714EFD0A}" srcOrd="0" destOrd="0" presId="urn:microsoft.com/office/officeart/2005/8/layout/orgChart1"/>
    <dgm:cxn modelId="{489C6463-AC05-46B3-98D7-FFAC096F7FF4}" type="presOf" srcId="{FC8A186B-CC00-4CB4-9788-0D608B961A46}" destId="{C6DF96AB-0D51-4127-B4C3-17B9E48F9894}" srcOrd="1" destOrd="0" presId="urn:microsoft.com/office/officeart/2005/8/layout/orgChart1"/>
    <dgm:cxn modelId="{B688F566-2104-49ED-A69F-6D0DD8E1C15C}" type="presOf" srcId="{8B356998-4568-4F8C-ABD1-73B699A7CB31}" destId="{21A8B4C4-C963-4BCC-90E7-8B927501AF64}" srcOrd="1" destOrd="0" presId="urn:microsoft.com/office/officeart/2005/8/layout/orgChart1"/>
    <dgm:cxn modelId="{AC29E66C-5B75-408F-ACD1-769180E3E475}" type="presOf" srcId="{70C2019C-91BE-420A-A82C-47825A333795}" destId="{62AA924F-8025-482D-92DF-C1630074AA78}" srcOrd="0" destOrd="0" presId="urn:microsoft.com/office/officeart/2005/8/layout/orgChart1"/>
    <dgm:cxn modelId="{EA480350-237A-443A-9226-9EC007EE84EC}" type="presOf" srcId="{41737FBF-946E-4427-8570-DBFC03849BCE}" destId="{C88E78B2-B19C-4C63-9BD6-31D732270D9C}" srcOrd="1" destOrd="0" presId="urn:microsoft.com/office/officeart/2005/8/layout/orgChart1"/>
    <dgm:cxn modelId="{68287451-E1F4-4C06-98D3-94DB71DDA623}" srcId="{A098CB35-69FC-4F39-AEA1-22681B79C9CF}" destId="{8BD07DC7-9305-44CF-B846-64506FF5CE97}" srcOrd="2" destOrd="0" parTransId="{1D32BB17-B50E-4321-A6B2-1ECF88B1EA59}" sibTransId="{3477717A-08E9-4E63-ADAB-065C43B3B8E0}"/>
    <dgm:cxn modelId="{613CE775-49B3-43FE-8CCE-BAD1747DAB8D}" type="presOf" srcId="{5D9AA314-3F72-4D56-8A77-CF377CD08A13}" destId="{53FAB72A-6A6E-470B-91E3-3626A2BFA659}" srcOrd="0" destOrd="0" presId="urn:microsoft.com/office/officeart/2005/8/layout/orgChart1"/>
    <dgm:cxn modelId="{A260FB75-B78E-4EF0-BCF1-C70EBC565B5E}" srcId="{A098CB35-69FC-4F39-AEA1-22681B79C9CF}" destId="{8B356998-4568-4F8C-ABD1-73B699A7CB31}" srcOrd="4" destOrd="0" parTransId="{AE65178F-7EE9-4DDE-A68A-0DA5312A4160}" sibTransId="{E7C5D07E-6B4B-4759-976F-DA10DB15F1B4}"/>
    <dgm:cxn modelId="{F428A076-80ED-4F5A-956A-53DF1A0913D2}" type="presOf" srcId="{C8EFF0E6-96B8-4444-AEFE-5A1808C8C7CE}" destId="{36E86C13-D45F-4193-B09F-126E089C1AE2}" srcOrd="0" destOrd="0" presId="urn:microsoft.com/office/officeart/2005/8/layout/orgChart1"/>
    <dgm:cxn modelId="{BF18F35A-17B0-4940-AD28-05134B867B3E}" type="presOf" srcId="{1D32BB17-B50E-4321-A6B2-1ECF88B1EA59}" destId="{53398FA4-5018-4F6A-8D1C-14DD1BC4B34A}" srcOrd="0" destOrd="0" presId="urn:microsoft.com/office/officeart/2005/8/layout/orgChart1"/>
    <dgm:cxn modelId="{0E573A8A-38AC-4226-A1AE-E2D0190EA7C3}" type="presOf" srcId="{0D4A7437-917E-4471-A41D-CBC15F80CFF6}" destId="{19EA7F88-E762-4751-9210-4CC7F0F20177}" srcOrd="0" destOrd="0" presId="urn:microsoft.com/office/officeart/2005/8/layout/orgChart1"/>
    <dgm:cxn modelId="{DC66DC90-BCE4-46D5-A438-28356720BD1B}" srcId="{A098CB35-69FC-4F39-AEA1-22681B79C9CF}" destId="{FC8A186B-CC00-4CB4-9788-0D608B961A46}" srcOrd="3" destOrd="0" parTransId="{7EFC92D4-B6B3-4632-A1F5-BB691FEE5970}" sibTransId="{FF981F79-7BFB-4961-AAC5-3D3723DE291D}"/>
    <dgm:cxn modelId="{6623E3A2-7E01-4099-85E6-7CC40F9E76FB}" type="presOf" srcId="{5F77AC0A-D57D-4F5C-9D02-492B2E2D8AD7}" destId="{22BA8367-DE85-4F74-B1C1-36EEFF23EE81}" srcOrd="1" destOrd="0" presId="urn:microsoft.com/office/officeart/2005/8/layout/orgChart1"/>
    <dgm:cxn modelId="{1EE140A5-F86D-4C10-B11A-956B882F5488}" srcId="{A098CB35-69FC-4F39-AEA1-22681B79C9CF}" destId="{31275758-EECE-48E7-87BC-4045B3B82264}" srcOrd="1" destOrd="0" parTransId="{0D4A7437-917E-4471-A41D-CBC15F80CFF6}" sibTransId="{2A619F3F-2709-4E4D-B337-314E94CE3550}"/>
    <dgm:cxn modelId="{43AD67AB-EA60-4BA1-8E25-D195F0EE0A78}" type="presOf" srcId="{71687D3A-7D29-4736-B7B1-95D394EF5DF4}" destId="{E6F4C7C7-4EDF-40B3-AAB7-404A984EE743}" srcOrd="1" destOrd="0" presId="urn:microsoft.com/office/officeart/2005/8/layout/orgChart1"/>
    <dgm:cxn modelId="{2930F6AB-95AE-469F-A236-0D04434DDAB3}" type="presOf" srcId="{31275758-EECE-48E7-87BC-4045B3B82264}" destId="{359F6803-C3AE-4071-BCF9-B432F8C185C3}" srcOrd="1" destOrd="0" presId="urn:microsoft.com/office/officeart/2005/8/layout/orgChart1"/>
    <dgm:cxn modelId="{E6A7CAAC-2DE1-4C42-8F43-D650272D8E32}" type="presOf" srcId="{5F77AC0A-D57D-4F5C-9D02-492B2E2D8AD7}" destId="{9BF8A96B-13A7-4608-ABEA-ABD829EA54D1}" srcOrd="0" destOrd="0" presId="urn:microsoft.com/office/officeart/2005/8/layout/orgChart1"/>
    <dgm:cxn modelId="{42E629C7-A0A3-43DB-9F58-7368451B4903}" type="presOf" srcId="{41E753B0-A904-4D5F-949A-9023952BB4D8}" destId="{63BA75B8-2FFF-4DDB-92D8-2F9909B44C1F}" srcOrd="0" destOrd="0" presId="urn:microsoft.com/office/officeart/2005/8/layout/orgChart1"/>
    <dgm:cxn modelId="{270F96CB-4A89-4C38-BE4E-77C2219410E8}" type="presOf" srcId="{8B356998-4568-4F8C-ABD1-73B699A7CB31}" destId="{AE64585F-A53C-4130-89A1-BF3C8DA02F79}" srcOrd="0" destOrd="0" presId="urn:microsoft.com/office/officeart/2005/8/layout/orgChart1"/>
    <dgm:cxn modelId="{86CB87D5-9B93-4BB3-AB3F-B9429A1F4C53}" type="presOf" srcId="{7EFC92D4-B6B3-4632-A1F5-BB691FEE5970}" destId="{F2CC5B1D-91CC-4105-AD0E-3D29A4129BDE}" srcOrd="0" destOrd="0" presId="urn:microsoft.com/office/officeart/2005/8/layout/orgChart1"/>
    <dgm:cxn modelId="{0646F6D7-BDC2-4A33-B517-3CA8DD46A401}" srcId="{A098CB35-69FC-4F39-AEA1-22681B79C9CF}" destId="{71687D3A-7D29-4736-B7B1-95D394EF5DF4}" srcOrd="7" destOrd="0" parTransId="{70C2019C-91BE-420A-A82C-47825A333795}" sibTransId="{BBBF886D-29BC-4F28-80F2-9D78AF4B707F}"/>
    <dgm:cxn modelId="{1F8BB6D9-DABD-4F52-824A-F28326EECCBF}" type="presOf" srcId="{A098CB35-69FC-4F39-AEA1-22681B79C9CF}" destId="{F7D6D2B7-4BCD-45F4-81EB-06EF7902C393}" srcOrd="0" destOrd="0" presId="urn:microsoft.com/office/officeart/2005/8/layout/orgChart1"/>
    <dgm:cxn modelId="{D881E3E6-788D-496A-80D2-B32804027FC8}" type="presOf" srcId="{2F30D03B-F255-4545-AA93-731BB1359AA3}" destId="{2B051BD1-22DF-42F8-A7FF-BBBF830B0090}" srcOrd="0" destOrd="0" presId="urn:microsoft.com/office/officeart/2005/8/layout/orgChart1"/>
    <dgm:cxn modelId="{7C097BF0-2631-4D58-9BC9-D92AE9D043F0}" type="presOf" srcId="{71687D3A-7D29-4736-B7B1-95D394EF5DF4}" destId="{7FFD9814-E0ED-436A-B03E-CE8B63E69163}" srcOrd="0" destOrd="0" presId="urn:microsoft.com/office/officeart/2005/8/layout/orgChart1"/>
    <dgm:cxn modelId="{922F88F0-E88C-475A-8E1C-23B9D93444E3}" type="presOf" srcId="{41737FBF-946E-4427-8570-DBFC03849BCE}" destId="{24B3E1AB-FAB1-4EC7-B3C6-78C7E562B3B9}" srcOrd="0" destOrd="0" presId="urn:microsoft.com/office/officeart/2005/8/layout/orgChart1"/>
    <dgm:cxn modelId="{2374C9F2-9684-4EE6-894B-ACE6E48666F6}" type="presOf" srcId="{8BD07DC7-9305-44CF-B846-64506FF5CE97}" destId="{07BC0234-7BDC-44F3-9A66-29AAED1A5CB4}" srcOrd="1" destOrd="0" presId="urn:microsoft.com/office/officeart/2005/8/layout/orgChart1"/>
    <dgm:cxn modelId="{D69BC5F8-360A-405C-B9DC-12D6C8A67DBC}" srcId="{A098CB35-69FC-4F39-AEA1-22681B79C9CF}" destId="{2F30D03B-F255-4545-AA93-731BB1359AA3}" srcOrd="5" destOrd="0" parTransId="{41E753B0-A904-4D5F-949A-9023952BB4D8}" sibTransId="{38E61D62-13E8-4A66-BE6E-A12BE1CF0415}"/>
    <dgm:cxn modelId="{3E09CF9C-604F-48CB-98B9-C7B6A600FCEC}" type="presParOf" srcId="{36E86C13-D45F-4193-B09F-126E089C1AE2}" destId="{A1D25391-ACEB-43E8-BC60-E36295AF52C0}" srcOrd="0" destOrd="0" presId="urn:microsoft.com/office/officeart/2005/8/layout/orgChart1"/>
    <dgm:cxn modelId="{BFDF87A4-C2A3-4BF1-878C-1896ECC913DF}" type="presParOf" srcId="{A1D25391-ACEB-43E8-BC60-E36295AF52C0}" destId="{E2B360FC-D6E4-4D6E-BC5C-2E2A8CCEBFD3}" srcOrd="0" destOrd="0" presId="urn:microsoft.com/office/officeart/2005/8/layout/orgChart1"/>
    <dgm:cxn modelId="{F8B284EA-8A1E-463F-89B5-C931E740CE79}" type="presParOf" srcId="{E2B360FC-D6E4-4D6E-BC5C-2E2A8CCEBFD3}" destId="{F7D6D2B7-4BCD-45F4-81EB-06EF7902C393}" srcOrd="0" destOrd="0" presId="urn:microsoft.com/office/officeart/2005/8/layout/orgChart1"/>
    <dgm:cxn modelId="{0A0C1C6D-3202-44C5-BBA7-FB2EF3ABD8BF}" type="presParOf" srcId="{E2B360FC-D6E4-4D6E-BC5C-2E2A8CCEBFD3}" destId="{3C33A457-07F2-42FE-9ECD-BCE1FC82ADB0}" srcOrd="1" destOrd="0" presId="urn:microsoft.com/office/officeart/2005/8/layout/orgChart1"/>
    <dgm:cxn modelId="{EAE6712C-79EA-4D00-8F60-D1A10CD94D3A}" type="presParOf" srcId="{A1D25391-ACEB-43E8-BC60-E36295AF52C0}" destId="{78938F40-4519-4577-B577-F7C59F0BC597}" srcOrd="1" destOrd="0" presId="urn:microsoft.com/office/officeart/2005/8/layout/orgChart1"/>
    <dgm:cxn modelId="{0F9E583E-F039-4D5C-8AFE-2FC17F1996AC}" type="presParOf" srcId="{78938F40-4519-4577-B577-F7C59F0BC597}" destId="{0F58C1E9-1BCC-4C35-B1DA-CE251FB15A67}" srcOrd="0" destOrd="0" presId="urn:microsoft.com/office/officeart/2005/8/layout/orgChart1"/>
    <dgm:cxn modelId="{9B0F2B8E-904C-4404-8060-6CC2085E7186}" type="presParOf" srcId="{78938F40-4519-4577-B577-F7C59F0BC597}" destId="{2AE8C5B1-73D8-4A19-8D05-2B3205F0024C}" srcOrd="1" destOrd="0" presId="urn:microsoft.com/office/officeart/2005/8/layout/orgChart1"/>
    <dgm:cxn modelId="{29C4082A-5628-4628-9776-B65031883C31}" type="presParOf" srcId="{2AE8C5B1-73D8-4A19-8D05-2B3205F0024C}" destId="{0EA2BB67-597F-4B80-A9E9-C209594C41EE}" srcOrd="0" destOrd="0" presId="urn:microsoft.com/office/officeart/2005/8/layout/orgChart1"/>
    <dgm:cxn modelId="{30FC5B40-D8CD-4674-9307-6BE72CA26B0E}" type="presParOf" srcId="{0EA2BB67-597F-4B80-A9E9-C209594C41EE}" destId="{AE64585F-A53C-4130-89A1-BF3C8DA02F79}" srcOrd="0" destOrd="0" presId="urn:microsoft.com/office/officeart/2005/8/layout/orgChart1"/>
    <dgm:cxn modelId="{A72A6B47-19F9-4AEF-9112-D955D92B2B72}" type="presParOf" srcId="{0EA2BB67-597F-4B80-A9E9-C209594C41EE}" destId="{21A8B4C4-C963-4BCC-90E7-8B927501AF64}" srcOrd="1" destOrd="0" presId="urn:microsoft.com/office/officeart/2005/8/layout/orgChart1"/>
    <dgm:cxn modelId="{F7FD1A5E-7E56-438D-9A49-F47445A971C4}" type="presParOf" srcId="{2AE8C5B1-73D8-4A19-8D05-2B3205F0024C}" destId="{F24C621D-CEF7-4C5B-86C1-AD8AC762A0BD}" srcOrd="1" destOrd="0" presId="urn:microsoft.com/office/officeart/2005/8/layout/orgChart1"/>
    <dgm:cxn modelId="{5FBF1C18-1122-4EE7-81EC-AC6DAA2FB53B}" type="presParOf" srcId="{2AE8C5B1-73D8-4A19-8D05-2B3205F0024C}" destId="{46A8D7EC-7C2A-4A66-B7DA-137D8DABE40C}" srcOrd="2" destOrd="0" presId="urn:microsoft.com/office/officeart/2005/8/layout/orgChart1"/>
    <dgm:cxn modelId="{419FEEE6-5C43-4200-BDB0-BD5F52E4086B}" type="presParOf" srcId="{78938F40-4519-4577-B577-F7C59F0BC597}" destId="{63BA75B8-2FFF-4DDB-92D8-2F9909B44C1F}" srcOrd="2" destOrd="0" presId="urn:microsoft.com/office/officeart/2005/8/layout/orgChart1"/>
    <dgm:cxn modelId="{E9CEB768-DDC7-4C55-AFC8-0D877C52586E}" type="presParOf" srcId="{78938F40-4519-4577-B577-F7C59F0BC597}" destId="{60ABBF40-EE46-4564-A595-EFCAFA104465}" srcOrd="3" destOrd="0" presId="urn:microsoft.com/office/officeart/2005/8/layout/orgChart1"/>
    <dgm:cxn modelId="{9EBA0839-4B3B-43E5-9D3B-209B099D3D2A}" type="presParOf" srcId="{60ABBF40-EE46-4564-A595-EFCAFA104465}" destId="{A16E2D5D-BF3A-485B-88B5-7046B0272B32}" srcOrd="0" destOrd="0" presId="urn:microsoft.com/office/officeart/2005/8/layout/orgChart1"/>
    <dgm:cxn modelId="{CC88D22F-D9EE-466E-B91F-6331AE527499}" type="presParOf" srcId="{A16E2D5D-BF3A-485B-88B5-7046B0272B32}" destId="{2B051BD1-22DF-42F8-A7FF-BBBF830B0090}" srcOrd="0" destOrd="0" presId="urn:microsoft.com/office/officeart/2005/8/layout/orgChart1"/>
    <dgm:cxn modelId="{F7B9187F-43E7-4D43-9D9F-102F6CFFD20D}" type="presParOf" srcId="{A16E2D5D-BF3A-485B-88B5-7046B0272B32}" destId="{765E67C9-0C91-467D-A877-28867FB93358}" srcOrd="1" destOrd="0" presId="urn:microsoft.com/office/officeart/2005/8/layout/orgChart1"/>
    <dgm:cxn modelId="{CB39A576-06A6-4E36-9AEE-A9C2BB3FF714}" type="presParOf" srcId="{60ABBF40-EE46-4564-A595-EFCAFA104465}" destId="{9C5429B2-66F5-4976-94D6-B231ECA6543E}" srcOrd="1" destOrd="0" presId="urn:microsoft.com/office/officeart/2005/8/layout/orgChart1"/>
    <dgm:cxn modelId="{F38DF830-5584-4189-9BA2-72DF43F581CB}" type="presParOf" srcId="{60ABBF40-EE46-4564-A595-EFCAFA104465}" destId="{C5934BB3-278F-4349-9EE3-BD800C985435}" srcOrd="2" destOrd="0" presId="urn:microsoft.com/office/officeart/2005/8/layout/orgChart1"/>
    <dgm:cxn modelId="{2163DAC5-B1A7-4030-8091-0B70BAF3F11A}" type="presParOf" srcId="{78938F40-4519-4577-B577-F7C59F0BC597}" destId="{5F5BA79D-D190-4589-BDB0-8449714EFD0A}" srcOrd="4" destOrd="0" presId="urn:microsoft.com/office/officeart/2005/8/layout/orgChart1"/>
    <dgm:cxn modelId="{9EDC5D21-EBFC-4C4D-BDDD-97D5BDF546F3}" type="presParOf" srcId="{78938F40-4519-4577-B577-F7C59F0BC597}" destId="{EFF407CD-D0D3-4160-922F-B8E10A551DB9}" srcOrd="5" destOrd="0" presId="urn:microsoft.com/office/officeart/2005/8/layout/orgChart1"/>
    <dgm:cxn modelId="{5DD56242-A23A-45A5-BE9B-71C9278A0D6A}" type="presParOf" srcId="{EFF407CD-D0D3-4160-922F-B8E10A551DB9}" destId="{D9F8B48E-9CF1-4A8B-9ADE-F867E868501D}" srcOrd="0" destOrd="0" presId="urn:microsoft.com/office/officeart/2005/8/layout/orgChart1"/>
    <dgm:cxn modelId="{50E64F70-D549-4EDE-81B9-8F1874150002}" type="presParOf" srcId="{D9F8B48E-9CF1-4A8B-9ADE-F867E868501D}" destId="{9BF8A96B-13A7-4608-ABEA-ABD829EA54D1}" srcOrd="0" destOrd="0" presId="urn:microsoft.com/office/officeart/2005/8/layout/orgChart1"/>
    <dgm:cxn modelId="{53469F7F-4F94-4AF4-88DE-189A368194E3}" type="presParOf" srcId="{D9F8B48E-9CF1-4A8B-9ADE-F867E868501D}" destId="{22BA8367-DE85-4F74-B1C1-36EEFF23EE81}" srcOrd="1" destOrd="0" presId="urn:microsoft.com/office/officeart/2005/8/layout/orgChart1"/>
    <dgm:cxn modelId="{DC2914EB-FE48-4A4A-BCFF-BFB0585628EF}" type="presParOf" srcId="{EFF407CD-D0D3-4160-922F-B8E10A551DB9}" destId="{B7F7AF16-2CA5-4C9F-9486-53587B7DA4FE}" srcOrd="1" destOrd="0" presId="urn:microsoft.com/office/officeart/2005/8/layout/orgChart1"/>
    <dgm:cxn modelId="{AF5DF03F-0245-466B-803E-74411AC95228}" type="presParOf" srcId="{EFF407CD-D0D3-4160-922F-B8E10A551DB9}" destId="{AB436621-613B-4EC2-8EF2-62F40AB1C7DB}" srcOrd="2" destOrd="0" presId="urn:microsoft.com/office/officeart/2005/8/layout/orgChart1"/>
    <dgm:cxn modelId="{64BEBBEF-3DDC-4D5B-AC6C-65CCF813E0DB}" type="presParOf" srcId="{78938F40-4519-4577-B577-F7C59F0BC597}" destId="{62AA924F-8025-482D-92DF-C1630074AA78}" srcOrd="6" destOrd="0" presId="urn:microsoft.com/office/officeart/2005/8/layout/orgChart1"/>
    <dgm:cxn modelId="{F57C7365-C867-4034-A597-BA9C6DC07CCD}" type="presParOf" srcId="{78938F40-4519-4577-B577-F7C59F0BC597}" destId="{EE6D7781-63DE-46C2-A1A5-78D96FE11D9A}" srcOrd="7" destOrd="0" presId="urn:microsoft.com/office/officeart/2005/8/layout/orgChart1"/>
    <dgm:cxn modelId="{5D0348A7-DA12-464A-8BE7-C56342C356E5}" type="presParOf" srcId="{EE6D7781-63DE-46C2-A1A5-78D96FE11D9A}" destId="{E63161EF-559B-4A1C-B2F9-1DD4AEEB087A}" srcOrd="0" destOrd="0" presId="urn:microsoft.com/office/officeart/2005/8/layout/orgChart1"/>
    <dgm:cxn modelId="{F93E1D0E-8DD0-4FB6-8BC4-F811AC354E9B}" type="presParOf" srcId="{E63161EF-559B-4A1C-B2F9-1DD4AEEB087A}" destId="{7FFD9814-E0ED-436A-B03E-CE8B63E69163}" srcOrd="0" destOrd="0" presId="urn:microsoft.com/office/officeart/2005/8/layout/orgChart1"/>
    <dgm:cxn modelId="{82454C7C-E630-40EB-9B0D-603E97411D0F}" type="presParOf" srcId="{E63161EF-559B-4A1C-B2F9-1DD4AEEB087A}" destId="{E6F4C7C7-4EDF-40B3-AAB7-404A984EE743}" srcOrd="1" destOrd="0" presId="urn:microsoft.com/office/officeart/2005/8/layout/orgChart1"/>
    <dgm:cxn modelId="{15615082-2858-4A34-A894-0A6938A729EB}" type="presParOf" srcId="{EE6D7781-63DE-46C2-A1A5-78D96FE11D9A}" destId="{1EEDFBE5-905E-4138-9155-F47AA4547145}" srcOrd="1" destOrd="0" presId="urn:microsoft.com/office/officeart/2005/8/layout/orgChart1"/>
    <dgm:cxn modelId="{D6867B82-F45D-4798-BAD1-CE440149DC9C}" type="presParOf" srcId="{EE6D7781-63DE-46C2-A1A5-78D96FE11D9A}" destId="{E0C86047-E8FC-4A38-AC99-FBDC796B6D65}" srcOrd="2" destOrd="0" presId="urn:microsoft.com/office/officeart/2005/8/layout/orgChart1"/>
    <dgm:cxn modelId="{8F1ED77D-8EED-497B-BE6F-1D08CD784DBD}" type="presParOf" srcId="{A1D25391-ACEB-43E8-BC60-E36295AF52C0}" destId="{3E1DD641-13A1-466D-B971-8C65BB6507B7}" srcOrd="2" destOrd="0" presId="urn:microsoft.com/office/officeart/2005/8/layout/orgChart1"/>
    <dgm:cxn modelId="{B590C8E3-1968-46D7-8C6F-803CD2CDB1EF}" type="presParOf" srcId="{3E1DD641-13A1-466D-B971-8C65BB6507B7}" destId="{53FAB72A-6A6E-470B-91E3-3626A2BFA659}" srcOrd="0" destOrd="0" presId="urn:microsoft.com/office/officeart/2005/8/layout/orgChart1"/>
    <dgm:cxn modelId="{A90EED42-92FB-42D8-8E80-0651E86B0022}" type="presParOf" srcId="{3E1DD641-13A1-466D-B971-8C65BB6507B7}" destId="{33501C1D-34BA-45F0-96B1-073A5DDB1049}" srcOrd="1" destOrd="0" presId="urn:microsoft.com/office/officeart/2005/8/layout/orgChart1"/>
    <dgm:cxn modelId="{06FAF436-E5FC-47D7-A7DD-759CC9F17FCF}" type="presParOf" srcId="{33501C1D-34BA-45F0-96B1-073A5DDB1049}" destId="{856C023D-4D2E-4493-A78B-CD7F6CDE8262}" srcOrd="0" destOrd="0" presId="urn:microsoft.com/office/officeart/2005/8/layout/orgChart1"/>
    <dgm:cxn modelId="{E7985BC7-6817-478D-9F53-EEF3BF8CB168}" type="presParOf" srcId="{856C023D-4D2E-4493-A78B-CD7F6CDE8262}" destId="{24B3E1AB-FAB1-4EC7-B3C6-78C7E562B3B9}" srcOrd="0" destOrd="0" presId="urn:microsoft.com/office/officeart/2005/8/layout/orgChart1"/>
    <dgm:cxn modelId="{F719011F-35B4-4165-801D-DA66CFC0591B}" type="presParOf" srcId="{856C023D-4D2E-4493-A78B-CD7F6CDE8262}" destId="{C88E78B2-B19C-4C63-9BD6-31D732270D9C}" srcOrd="1" destOrd="0" presId="urn:microsoft.com/office/officeart/2005/8/layout/orgChart1"/>
    <dgm:cxn modelId="{2109954B-4257-44BB-88BE-878C170413FD}" type="presParOf" srcId="{33501C1D-34BA-45F0-96B1-073A5DDB1049}" destId="{D1731FFF-5303-4D6A-AD0C-5C6FFE6F5B2D}" srcOrd="1" destOrd="0" presId="urn:microsoft.com/office/officeart/2005/8/layout/orgChart1"/>
    <dgm:cxn modelId="{3B9BB06F-9B4E-4BEA-A765-4EC317E94396}" type="presParOf" srcId="{33501C1D-34BA-45F0-96B1-073A5DDB1049}" destId="{D44A4A70-79A3-479D-82AE-E85E76DC8F77}" srcOrd="2" destOrd="0" presId="urn:microsoft.com/office/officeart/2005/8/layout/orgChart1"/>
    <dgm:cxn modelId="{24E50884-7260-4C56-8E21-63E5427EE29D}" type="presParOf" srcId="{3E1DD641-13A1-466D-B971-8C65BB6507B7}" destId="{19EA7F88-E762-4751-9210-4CC7F0F20177}" srcOrd="2" destOrd="0" presId="urn:microsoft.com/office/officeart/2005/8/layout/orgChart1"/>
    <dgm:cxn modelId="{11F1F3AE-58BE-43D8-842D-CAD233518314}" type="presParOf" srcId="{3E1DD641-13A1-466D-B971-8C65BB6507B7}" destId="{7B1985C6-CF45-46D5-8D0D-05BF4EA62EB1}" srcOrd="3" destOrd="0" presId="urn:microsoft.com/office/officeart/2005/8/layout/orgChart1"/>
    <dgm:cxn modelId="{ADADF689-8CA9-411D-A357-D8E624B61673}" type="presParOf" srcId="{7B1985C6-CF45-46D5-8D0D-05BF4EA62EB1}" destId="{15EEB00E-B975-4302-A883-B38B253F3C9A}" srcOrd="0" destOrd="0" presId="urn:microsoft.com/office/officeart/2005/8/layout/orgChart1"/>
    <dgm:cxn modelId="{CB22B440-F481-4877-A48E-3A7E44ECC0D6}" type="presParOf" srcId="{15EEB00E-B975-4302-A883-B38B253F3C9A}" destId="{9C0E7CEE-CA04-4557-B579-B4284E3B2F58}" srcOrd="0" destOrd="0" presId="urn:microsoft.com/office/officeart/2005/8/layout/orgChart1"/>
    <dgm:cxn modelId="{B7BABAAF-EE98-42C0-85E6-C00171D03FC8}" type="presParOf" srcId="{15EEB00E-B975-4302-A883-B38B253F3C9A}" destId="{359F6803-C3AE-4071-BCF9-B432F8C185C3}" srcOrd="1" destOrd="0" presId="urn:microsoft.com/office/officeart/2005/8/layout/orgChart1"/>
    <dgm:cxn modelId="{CD010D70-0A25-4EB5-BE33-871B5433ADFE}" type="presParOf" srcId="{7B1985C6-CF45-46D5-8D0D-05BF4EA62EB1}" destId="{68A15229-B6D3-4552-B284-A75770272376}" srcOrd="1" destOrd="0" presId="urn:microsoft.com/office/officeart/2005/8/layout/orgChart1"/>
    <dgm:cxn modelId="{31A1FCC1-4D96-4A97-99FF-46E1B11DF21C}" type="presParOf" srcId="{7B1985C6-CF45-46D5-8D0D-05BF4EA62EB1}" destId="{DAB772E9-4067-4116-B08B-915FB4E9CB07}" srcOrd="2" destOrd="0" presId="urn:microsoft.com/office/officeart/2005/8/layout/orgChart1"/>
    <dgm:cxn modelId="{0A9E362C-BFFA-4D3F-B915-5EAB281BFB80}" type="presParOf" srcId="{3E1DD641-13A1-466D-B971-8C65BB6507B7}" destId="{53398FA4-5018-4F6A-8D1C-14DD1BC4B34A}" srcOrd="4" destOrd="0" presId="urn:microsoft.com/office/officeart/2005/8/layout/orgChart1"/>
    <dgm:cxn modelId="{B071C336-0D74-4E9A-8A91-45262664ACB9}" type="presParOf" srcId="{3E1DD641-13A1-466D-B971-8C65BB6507B7}" destId="{696E00E2-9DD9-42D3-AF92-600DB54A1D82}" srcOrd="5" destOrd="0" presId="urn:microsoft.com/office/officeart/2005/8/layout/orgChart1"/>
    <dgm:cxn modelId="{0F48E64C-9420-45FC-BB23-85C60795E8D1}" type="presParOf" srcId="{696E00E2-9DD9-42D3-AF92-600DB54A1D82}" destId="{C9FAAA1E-151A-4948-9ABD-76A1813E6D88}" srcOrd="0" destOrd="0" presId="urn:microsoft.com/office/officeart/2005/8/layout/orgChart1"/>
    <dgm:cxn modelId="{B09D87C9-C8BB-410C-B26A-BFD8C3C1489E}" type="presParOf" srcId="{C9FAAA1E-151A-4948-9ABD-76A1813E6D88}" destId="{0D5FCD05-6A67-4944-8CDA-66F62A810B15}" srcOrd="0" destOrd="0" presId="urn:microsoft.com/office/officeart/2005/8/layout/orgChart1"/>
    <dgm:cxn modelId="{D03306F9-59DA-4FC9-8622-EEB83077CD0C}" type="presParOf" srcId="{C9FAAA1E-151A-4948-9ABD-76A1813E6D88}" destId="{07BC0234-7BDC-44F3-9A66-29AAED1A5CB4}" srcOrd="1" destOrd="0" presId="urn:microsoft.com/office/officeart/2005/8/layout/orgChart1"/>
    <dgm:cxn modelId="{0FE835AA-BF09-410C-8B4B-904EE1D6D503}" type="presParOf" srcId="{696E00E2-9DD9-42D3-AF92-600DB54A1D82}" destId="{2C9DF1D9-8BC7-4DC5-AD24-BADF523DF3EC}" srcOrd="1" destOrd="0" presId="urn:microsoft.com/office/officeart/2005/8/layout/orgChart1"/>
    <dgm:cxn modelId="{B149D474-1A07-441A-A2C1-05158B43BD19}" type="presParOf" srcId="{696E00E2-9DD9-42D3-AF92-600DB54A1D82}" destId="{A3DE5C8C-5FDF-47AF-849F-85D660365E72}" srcOrd="2" destOrd="0" presId="urn:microsoft.com/office/officeart/2005/8/layout/orgChart1"/>
    <dgm:cxn modelId="{363CE563-7D8E-46D7-97D9-C905D176CB2E}" type="presParOf" srcId="{3E1DD641-13A1-466D-B971-8C65BB6507B7}" destId="{F2CC5B1D-91CC-4105-AD0E-3D29A4129BDE}" srcOrd="6" destOrd="0" presId="urn:microsoft.com/office/officeart/2005/8/layout/orgChart1"/>
    <dgm:cxn modelId="{399D2EA3-39B7-41C6-AF83-3C08FE1562F5}" type="presParOf" srcId="{3E1DD641-13A1-466D-B971-8C65BB6507B7}" destId="{4A7A4C23-1324-4109-A383-FBFE93DC27C2}" srcOrd="7" destOrd="0" presId="urn:microsoft.com/office/officeart/2005/8/layout/orgChart1"/>
    <dgm:cxn modelId="{EAA89871-F813-44ED-9227-5FCCFB773160}" type="presParOf" srcId="{4A7A4C23-1324-4109-A383-FBFE93DC27C2}" destId="{F4F93DDE-B0D4-4482-8850-584FBF211547}" srcOrd="0" destOrd="0" presId="urn:microsoft.com/office/officeart/2005/8/layout/orgChart1"/>
    <dgm:cxn modelId="{C683B322-63E8-475E-900D-4A80D3D74099}" type="presParOf" srcId="{F4F93DDE-B0D4-4482-8850-584FBF211547}" destId="{3731EF64-E532-4C3F-9FE4-565F1AACDBE6}" srcOrd="0" destOrd="0" presId="urn:microsoft.com/office/officeart/2005/8/layout/orgChart1"/>
    <dgm:cxn modelId="{1A8C401B-8F8E-4DC7-B9D8-8FEAC8BBAED2}" type="presParOf" srcId="{F4F93DDE-B0D4-4482-8850-584FBF211547}" destId="{C6DF96AB-0D51-4127-B4C3-17B9E48F9894}" srcOrd="1" destOrd="0" presId="urn:microsoft.com/office/officeart/2005/8/layout/orgChart1"/>
    <dgm:cxn modelId="{4D6D3485-5D3C-4635-9593-C458BE37BBAE}" type="presParOf" srcId="{4A7A4C23-1324-4109-A383-FBFE93DC27C2}" destId="{67DF4B74-EF39-4A6A-A26A-2F15BACEB23A}" srcOrd="1" destOrd="0" presId="urn:microsoft.com/office/officeart/2005/8/layout/orgChart1"/>
    <dgm:cxn modelId="{B8228020-DFD1-403F-BD06-E69B52BEFEBC}" type="presParOf" srcId="{4A7A4C23-1324-4109-A383-FBFE93DC27C2}" destId="{4A31AE8E-7CD0-4044-A55F-A5297A347274}" srcOrd="2" destOrd="0" presId="urn:microsoft.com/office/officeart/2005/8/layout/orgChart1"/>
  </dgm:cxnLst>
  <dgm:bg/>
  <dgm:whole>
    <a:ln cap="rnd"/>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CC5B1D-91CC-4105-AD0E-3D29A4129BDE}">
      <dsp:nvSpPr>
        <dsp:cNvPr id="0" name=""/>
        <dsp:cNvSpPr/>
      </dsp:nvSpPr>
      <dsp:spPr>
        <a:xfrm>
          <a:off x="2854390" y="290928"/>
          <a:ext cx="1358113" cy="236132"/>
        </a:xfrm>
        <a:custGeom>
          <a:avLst/>
          <a:gdLst/>
          <a:ahLst/>
          <a:cxnLst/>
          <a:rect l="0" t="0" r="0" b="0"/>
          <a:pathLst>
            <a:path>
              <a:moveTo>
                <a:pt x="0" y="236132"/>
              </a:moveTo>
              <a:lnTo>
                <a:pt x="1358113"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398FA4-5018-4F6A-8D1C-14DD1BC4B34A}">
      <dsp:nvSpPr>
        <dsp:cNvPr id="0" name=""/>
        <dsp:cNvSpPr/>
      </dsp:nvSpPr>
      <dsp:spPr>
        <a:xfrm>
          <a:off x="2202839" y="527060"/>
          <a:ext cx="651550" cy="1096633"/>
        </a:xfrm>
        <a:custGeom>
          <a:avLst/>
          <a:gdLst/>
          <a:ahLst/>
          <a:cxnLst/>
          <a:rect l="0" t="0" r="0" b="0"/>
          <a:pathLst>
            <a:path>
              <a:moveTo>
                <a:pt x="651550" y="0"/>
              </a:moveTo>
              <a:lnTo>
                <a:pt x="651550" y="1096633"/>
              </a:lnTo>
              <a:lnTo>
                <a:pt x="0" y="1096633"/>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19EA7F88-E762-4751-9210-4CC7F0F20177}">
      <dsp:nvSpPr>
        <dsp:cNvPr id="0" name=""/>
        <dsp:cNvSpPr/>
      </dsp:nvSpPr>
      <dsp:spPr>
        <a:xfrm>
          <a:off x="2854390" y="527060"/>
          <a:ext cx="141128" cy="567831"/>
        </a:xfrm>
        <a:custGeom>
          <a:avLst/>
          <a:gdLst/>
          <a:ahLst/>
          <a:cxnLst/>
          <a:rect l="0" t="0" r="0" b="0"/>
          <a:pathLst>
            <a:path>
              <a:moveTo>
                <a:pt x="0" y="0"/>
              </a:moveTo>
              <a:lnTo>
                <a:pt x="0" y="567831"/>
              </a:lnTo>
              <a:lnTo>
                <a:pt x="141128" y="567831"/>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FAB72A-6A6E-470B-91E3-3626A2BFA659}">
      <dsp:nvSpPr>
        <dsp:cNvPr id="0" name=""/>
        <dsp:cNvSpPr/>
      </dsp:nvSpPr>
      <dsp:spPr>
        <a:xfrm>
          <a:off x="1759359" y="290928"/>
          <a:ext cx="1095030" cy="236132"/>
        </a:xfrm>
        <a:custGeom>
          <a:avLst/>
          <a:gdLst/>
          <a:ahLst/>
          <a:cxnLst/>
          <a:rect l="0" t="0" r="0" b="0"/>
          <a:pathLst>
            <a:path>
              <a:moveTo>
                <a:pt x="1095030" y="236132"/>
              </a:moveTo>
              <a:lnTo>
                <a:pt x="0"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62AA924F-8025-482D-92DF-C1630074AA78}">
      <dsp:nvSpPr>
        <dsp:cNvPr id="0" name=""/>
        <dsp:cNvSpPr/>
      </dsp:nvSpPr>
      <dsp:spPr>
        <a:xfrm>
          <a:off x="2854390" y="527060"/>
          <a:ext cx="2302994" cy="1529602"/>
        </a:xfrm>
        <a:custGeom>
          <a:avLst/>
          <a:gdLst/>
          <a:ahLst/>
          <a:cxnLst/>
          <a:rect l="0" t="0" r="0" b="0"/>
          <a:pathLst>
            <a:path>
              <a:moveTo>
                <a:pt x="0" y="0"/>
              </a:moveTo>
              <a:lnTo>
                <a:pt x="0" y="1431186"/>
              </a:lnTo>
              <a:lnTo>
                <a:pt x="2302994" y="1431186"/>
              </a:lnTo>
              <a:lnTo>
                <a:pt x="2302994" y="152960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F5BA79D-D190-4589-BDB0-8449714EFD0A}">
      <dsp:nvSpPr>
        <dsp:cNvPr id="0" name=""/>
        <dsp:cNvSpPr/>
      </dsp:nvSpPr>
      <dsp:spPr>
        <a:xfrm>
          <a:off x="2854390" y="527060"/>
          <a:ext cx="667920" cy="1527788"/>
        </a:xfrm>
        <a:custGeom>
          <a:avLst/>
          <a:gdLst/>
          <a:ahLst/>
          <a:cxnLst/>
          <a:rect l="0" t="0" r="0" b="0"/>
          <a:pathLst>
            <a:path>
              <a:moveTo>
                <a:pt x="0" y="0"/>
              </a:moveTo>
              <a:lnTo>
                <a:pt x="0" y="1429372"/>
              </a:lnTo>
              <a:lnTo>
                <a:pt x="667920" y="1429372"/>
              </a:lnTo>
              <a:lnTo>
                <a:pt x="667920" y="1527788"/>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63BA75B8-2FFF-4DDB-92D8-2F9909B44C1F}">
      <dsp:nvSpPr>
        <dsp:cNvPr id="0" name=""/>
        <dsp:cNvSpPr/>
      </dsp:nvSpPr>
      <dsp:spPr>
        <a:xfrm>
          <a:off x="1858346" y="527060"/>
          <a:ext cx="996043" cy="1527788"/>
        </a:xfrm>
        <a:custGeom>
          <a:avLst/>
          <a:gdLst/>
          <a:ahLst/>
          <a:cxnLst/>
          <a:rect l="0" t="0" r="0" b="0"/>
          <a:pathLst>
            <a:path>
              <a:moveTo>
                <a:pt x="996043" y="0"/>
              </a:moveTo>
              <a:lnTo>
                <a:pt x="996043" y="1429372"/>
              </a:lnTo>
              <a:lnTo>
                <a:pt x="0" y="1429372"/>
              </a:lnTo>
              <a:lnTo>
                <a:pt x="0" y="1527788"/>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F58C1E9-1BCC-4C35-B1DA-CE251FB15A67}">
      <dsp:nvSpPr>
        <dsp:cNvPr id="0" name=""/>
        <dsp:cNvSpPr/>
      </dsp:nvSpPr>
      <dsp:spPr>
        <a:xfrm>
          <a:off x="536947" y="527060"/>
          <a:ext cx="2317442" cy="1529602"/>
        </a:xfrm>
        <a:custGeom>
          <a:avLst/>
          <a:gdLst/>
          <a:ahLst/>
          <a:cxnLst/>
          <a:rect l="0" t="0" r="0" b="0"/>
          <a:pathLst>
            <a:path>
              <a:moveTo>
                <a:pt x="2317442" y="0"/>
              </a:moveTo>
              <a:lnTo>
                <a:pt x="2317442" y="1431186"/>
              </a:lnTo>
              <a:lnTo>
                <a:pt x="0" y="1431186"/>
              </a:lnTo>
              <a:lnTo>
                <a:pt x="0" y="152960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7D6D2B7-4BCD-45F4-81EB-06EF7902C393}">
      <dsp:nvSpPr>
        <dsp:cNvPr id="0" name=""/>
        <dsp:cNvSpPr/>
      </dsp:nvSpPr>
      <dsp:spPr>
        <a:xfrm>
          <a:off x="2385743" y="58413"/>
          <a:ext cx="937293" cy="468646"/>
        </a:xfrm>
        <a:prstGeom prst="rect">
          <a:avLst/>
        </a:prstGeom>
        <a:gradFill rotWithShape="0">
          <a:gsLst>
            <a:gs pos="0">
              <a:schemeClr val="accent1">
                <a:shade val="60000"/>
                <a:hueOff val="0"/>
                <a:satOff val="0"/>
                <a:lumOff val="0"/>
                <a:alphaOff val="0"/>
                <a:shade val="51000"/>
                <a:satMod val="130000"/>
              </a:schemeClr>
            </a:gs>
            <a:gs pos="80000">
              <a:schemeClr val="accent1">
                <a:shade val="60000"/>
                <a:hueOff val="0"/>
                <a:satOff val="0"/>
                <a:lumOff val="0"/>
                <a:alphaOff val="0"/>
                <a:shade val="93000"/>
                <a:satMod val="130000"/>
              </a:schemeClr>
            </a:gs>
            <a:gs pos="100000">
              <a:schemeClr val="accent1">
                <a:shade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b="1" kern="1200">
              <a:latin typeface="Times New Roman" panose="02020603050405020304" pitchFamily="18" charset="0"/>
              <a:cs typeface="Times New Roman" panose="02020603050405020304" pitchFamily="18" charset="0"/>
            </a:rPr>
            <a:t>Предсједник</a:t>
          </a:r>
          <a:endParaRPr lang="sr-Latn-CS" sz="900" b="1" kern="1200">
            <a:latin typeface="Times New Roman" panose="02020603050405020304" pitchFamily="18" charset="0"/>
            <a:cs typeface="Times New Roman" panose="02020603050405020304" pitchFamily="18" charset="0"/>
          </a:endParaRPr>
        </a:p>
      </dsp:txBody>
      <dsp:txXfrm>
        <a:off x="2385743" y="58413"/>
        <a:ext cx="937293" cy="468646"/>
      </dsp:txXfrm>
    </dsp:sp>
    <dsp:sp modelId="{AE64585F-A53C-4130-89A1-BF3C8DA02F79}">
      <dsp:nvSpPr>
        <dsp:cNvPr id="0" name=""/>
        <dsp:cNvSpPr/>
      </dsp:nvSpPr>
      <dsp:spPr>
        <a:xfrm>
          <a:off x="0" y="2056662"/>
          <a:ext cx="1073894"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емисију хартија од вриједности</a:t>
          </a:r>
          <a:endParaRPr lang="sr-Latn-CS" sz="900" kern="1200">
            <a:latin typeface="Times New Roman" panose="02020603050405020304" pitchFamily="18" charset="0"/>
            <a:cs typeface="Times New Roman" panose="02020603050405020304" pitchFamily="18" charset="0"/>
          </a:endParaRPr>
        </a:p>
      </dsp:txBody>
      <dsp:txXfrm>
        <a:off x="0" y="2056662"/>
        <a:ext cx="1073894" cy="468646"/>
      </dsp:txXfrm>
    </dsp:sp>
    <dsp:sp modelId="{2B051BD1-22DF-42F8-A7FF-BBBF830B0090}">
      <dsp:nvSpPr>
        <dsp:cNvPr id="0" name=""/>
        <dsp:cNvSpPr/>
      </dsp:nvSpPr>
      <dsp:spPr>
        <a:xfrm>
          <a:off x="1274394" y="2054849"/>
          <a:ext cx="1167905"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развој и међународну сарадњу</a:t>
          </a:r>
          <a:endParaRPr lang="sr-Latn-CS" sz="900" kern="1200">
            <a:latin typeface="Times New Roman" panose="02020603050405020304" pitchFamily="18" charset="0"/>
            <a:cs typeface="Times New Roman" panose="02020603050405020304" pitchFamily="18" charset="0"/>
          </a:endParaRPr>
        </a:p>
      </dsp:txBody>
      <dsp:txXfrm>
        <a:off x="1274394" y="2054849"/>
        <a:ext cx="1167905" cy="468646"/>
      </dsp:txXfrm>
    </dsp:sp>
    <dsp:sp modelId="{9BF8A96B-13A7-4608-ABEA-ABD829EA54D1}">
      <dsp:nvSpPr>
        <dsp:cNvPr id="0" name=""/>
        <dsp:cNvSpPr/>
      </dsp:nvSpPr>
      <dsp:spPr>
        <a:xfrm>
          <a:off x="2639131" y="2054849"/>
          <a:ext cx="1766357"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издавање дозвола и слагласности учесницима на тржишту</a:t>
          </a:r>
          <a:endParaRPr lang="sr-Latn-CS" sz="900" kern="1200">
            <a:latin typeface="Times New Roman" panose="02020603050405020304" pitchFamily="18" charset="0"/>
            <a:cs typeface="Times New Roman" panose="02020603050405020304" pitchFamily="18" charset="0"/>
          </a:endParaRPr>
        </a:p>
      </dsp:txBody>
      <dsp:txXfrm>
        <a:off x="2639131" y="2054849"/>
        <a:ext cx="1766357" cy="468646"/>
      </dsp:txXfrm>
    </dsp:sp>
    <dsp:sp modelId="{7FFD9814-E0ED-436A-B03E-CE8B63E69163}">
      <dsp:nvSpPr>
        <dsp:cNvPr id="0" name=""/>
        <dsp:cNvSpPr/>
      </dsp:nvSpPr>
      <dsp:spPr>
        <a:xfrm>
          <a:off x="4605988" y="2056662"/>
          <a:ext cx="1102791"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надзор</a:t>
          </a:r>
          <a:endParaRPr lang="sr-Latn-CS" sz="900" kern="1200">
            <a:latin typeface="Times New Roman" panose="02020603050405020304" pitchFamily="18" charset="0"/>
            <a:cs typeface="Times New Roman" panose="02020603050405020304" pitchFamily="18" charset="0"/>
          </a:endParaRPr>
        </a:p>
      </dsp:txBody>
      <dsp:txXfrm>
        <a:off x="4605988" y="2056662"/>
        <a:ext cx="1102791" cy="468646"/>
      </dsp:txXfrm>
    </dsp:sp>
    <dsp:sp modelId="{24B3E1AB-FAB1-4EC7-B3C6-78C7E562B3B9}">
      <dsp:nvSpPr>
        <dsp:cNvPr id="0" name=""/>
        <dsp:cNvSpPr/>
      </dsp:nvSpPr>
      <dsp:spPr>
        <a:xfrm>
          <a:off x="268931" y="56604"/>
          <a:ext cx="1490428"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Замјеник предсједника</a:t>
          </a:r>
        </a:p>
      </dsp:txBody>
      <dsp:txXfrm>
        <a:off x="268931" y="56604"/>
        <a:ext cx="1490428" cy="468646"/>
      </dsp:txXfrm>
    </dsp:sp>
    <dsp:sp modelId="{9C0E7CEE-CA04-4557-B579-B4284E3B2F58}">
      <dsp:nvSpPr>
        <dsp:cNvPr id="0" name=""/>
        <dsp:cNvSpPr/>
      </dsp:nvSpPr>
      <dsp:spPr>
        <a:xfrm>
          <a:off x="2995518" y="860568"/>
          <a:ext cx="1035596"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Секретаријат Комисије</a:t>
          </a:r>
        </a:p>
      </dsp:txBody>
      <dsp:txXfrm>
        <a:off x="2995518" y="860568"/>
        <a:ext cx="1035596" cy="468646"/>
      </dsp:txXfrm>
    </dsp:sp>
    <dsp:sp modelId="{0D5FCD05-6A67-4944-8CDA-66F62A810B15}">
      <dsp:nvSpPr>
        <dsp:cNvPr id="0" name=""/>
        <dsp:cNvSpPr/>
      </dsp:nvSpPr>
      <dsp:spPr>
        <a:xfrm>
          <a:off x="1265546" y="1389370"/>
          <a:ext cx="937293"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Интерни ревизор</a:t>
          </a:r>
        </a:p>
      </dsp:txBody>
      <dsp:txXfrm>
        <a:off x="1265546" y="1389370"/>
        <a:ext cx="937293" cy="468646"/>
      </dsp:txXfrm>
    </dsp:sp>
    <dsp:sp modelId="{3731EF64-E532-4C3F-9FE4-565F1AACDBE6}">
      <dsp:nvSpPr>
        <dsp:cNvPr id="0" name=""/>
        <dsp:cNvSpPr/>
      </dsp:nvSpPr>
      <dsp:spPr>
        <a:xfrm>
          <a:off x="4212503" y="56604"/>
          <a:ext cx="1496276"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Чланови Комисије</a:t>
          </a:r>
        </a:p>
      </dsp:txBody>
      <dsp:txXfrm>
        <a:off x="4212503" y="56604"/>
        <a:ext cx="1496276" cy="46864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6F327-1127-4F21-82DC-2509877C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1422</TotalTime>
  <Pages>38</Pages>
  <Words>12908</Words>
  <Characters>73576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m.jandric</dc:creator>
  <cp:keywords/>
  <dc:description/>
  <cp:lastModifiedBy>Dino Đumić</cp:lastModifiedBy>
  <cp:revision>143</cp:revision>
  <cp:lastPrinted>2024-05-30T09:16:00Z</cp:lastPrinted>
  <dcterms:created xsi:type="dcterms:W3CDTF">2019-05-31T09:52:00Z</dcterms:created>
  <dcterms:modified xsi:type="dcterms:W3CDTF">2024-05-30T11:22:00Z</dcterms:modified>
</cp:coreProperties>
</file>